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F83447">
        <w:trPr>
          <w:tblCellSpacing w:w="60" w:type="dxa"/>
        </w:trPr>
        <w:tc>
          <w:tcPr>
            <w:tcW w:w="1200" w:type="pct"/>
            <w:shd w:val="clear" w:color="auto" w:fill="E7F0F9"/>
          </w:tcPr>
          <w:p w:rsidR="00F83447" w:rsidRDefault="0028555D">
            <w:pPr>
              <w:spacing w:after="0" w:line="240" w:lineRule="auto"/>
            </w:pPr>
            <w:r>
              <w:rPr>
                <w:b/>
              </w:rPr>
              <w:t>RKP broj</w:t>
            </w:r>
          </w:p>
        </w:tc>
        <w:tc>
          <w:tcPr>
            <w:tcW w:w="0" w:type="auto"/>
            <w:shd w:val="clear" w:color="auto" w:fill="E7F0F9"/>
          </w:tcPr>
          <w:p w:rsidR="00F83447" w:rsidRDefault="0028555D">
            <w:pPr>
              <w:spacing w:after="0" w:line="240" w:lineRule="auto"/>
            </w:pPr>
            <w:r>
              <w:t>40746</w:t>
            </w:r>
          </w:p>
        </w:tc>
      </w:tr>
      <w:tr w:rsidR="00F83447">
        <w:trPr>
          <w:tblCellSpacing w:w="60" w:type="dxa"/>
        </w:trPr>
        <w:tc>
          <w:tcPr>
            <w:tcW w:w="1200" w:type="pct"/>
            <w:shd w:val="clear" w:color="auto" w:fill="E7F0F9"/>
          </w:tcPr>
          <w:p w:rsidR="00F83447" w:rsidRDefault="0028555D">
            <w:pPr>
              <w:spacing w:after="0" w:line="240" w:lineRule="auto"/>
            </w:pPr>
            <w:r>
              <w:rPr>
                <w:b/>
              </w:rPr>
              <w:t>Naziv obveznika</w:t>
            </w:r>
          </w:p>
        </w:tc>
        <w:tc>
          <w:tcPr>
            <w:tcW w:w="0" w:type="auto"/>
            <w:shd w:val="clear" w:color="auto" w:fill="E7F0F9"/>
          </w:tcPr>
          <w:p w:rsidR="00F83447" w:rsidRDefault="0028555D">
            <w:pPr>
              <w:spacing w:after="0" w:line="240" w:lineRule="auto"/>
            </w:pPr>
            <w:r>
              <w:t>SPECIJALNA BOLNICA ZA MEDICINSKU REHABILITACIJU VARAŽDINSKE TOPLICE</w:t>
            </w:r>
          </w:p>
        </w:tc>
      </w:tr>
      <w:tr w:rsidR="00F83447">
        <w:trPr>
          <w:tblCellSpacing w:w="60" w:type="dxa"/>
        </w:trPr>
        <w:tc>
          <w:tcPr>
            <w:tcW w:w="1200" w:type="pct"/>
            <w:shd w:val="clear" w:color="auto" w:fill="E7F0F9"/>
          </w:tcPr>
          <w:p w:rsidR="00F83447" w:rsidRDefault="0028555D">
            <w:pPr>
              <w:spacing w:after="0" w:line="240" w:lineRule="auto"/>
            </w:pPr>
            <w:r>
              <w:rPr>
                <w:b/>
              </w:rPr>
              <w:t>Razina</w:t>
            </w:r>
          </w:p>
        </w:tc>
        <w:tc>
          <w:tcPr>
            <w:tcW w:w="0" w:type="auto"/>
            <w:shd w:val="clear" w:color="auto" w:fill="E7F0F9"/>
          </w:tcPr>
          <w:p w:rsidR="00F83447" w:rsidRDefault="0028555D">
            <w:pPr>
              <w:spacing w:after="0" w:line="240" w:lineRule="auto"/>
            </w:pPr>
            <w:r>
              <w:t>31</w:t>
            </w:r>
          </w:p>
        </w:tc>
      </w:tr>
    </w:tbl>
    <w:p w:rsidR="00F83447" w:rsidRDefault="0028555D">
      <w:r>
        <w:br/>
      </w:r>
    </w:p>
    <w:p w:rsidR="00F83447" w:rsidRDefault="0028555D">
      <w:pPr>
        <w:spacing w:line="240" w:lineRule="auto"/>
        <w:jc w:val="center"/>
      </w:pPr>
      <w:r>
        <w:rPr>
          <w:b/>
          <w:sz w:val="28"/>
        </w:rPr>
        <w:t>BILJEŠKE UZ FINANCIJSKE IZVJEŠTAJE</w:t>
      </w:r>
    </w:p>
    <w:p w:rsidR="00F83447" w:rsidRDefault="0028555D">
      <w:pPr>
        <w:spacing w:line="240" w:lineRule="auto"/>
        <w:jc w:val="center"/>
      </w:pPr>
      <w:r>
        <w:rPr>
          <w:b/>
          <w:sz w:val="28"/>
        </w:rPr>
        <w:t>ZA RAZDOBLJE</w:t>
      </w:r>
    </w:p>
    <w:p w:rsidR="00F83447" w:rsidRDefault="0028555D">
      <w:pPr>
        <w:spacing w:line="240" w:lineRule="auto"/>
        <w:jc w:val="center"/>
      </w:pPr>
      <w:r>
        <w:rPr>
          <w:b/>
          <w:sz w:val="28"/>
        </w:rPr>
        <w:t>I - VI 2026.</w:t>
      </w:r>
    </w:p>
    <w:p w:rsidR="00F83447" w:rsidRDefault="00F83447"/>
    <w:p w:rsidR="00F83447" w:rsidRDefault="0028555D">
      <w:pPr>
        <w:keepNext/>
        <w:spacing w:line="240" w:lineRule="auto"/>
        <w:jc w:val="center"/>
      </w:pPr>
      <w:r>
        <w:rPr>
          <w:b/>
          <w:sz w:val="28"/>
        </w:rPr>
        <w:t>Izvještaj o prihodima i rashodima, primicima i izdacima</w:t>
      </w:r>
    </w:p>
    <w:p w:rsidR="00F83447" w:rsidRDefault="0028555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w:t>
            </w:r>
          </w:p>
        </w:tc>
        <w:tc>
          <w:tcPr>
            <w:tcW w:w="3180" w:type="dxa"/>
            <w:tcMar>
              <w:top w:w="0" w:type="dxa"/>
              <w:bottom w:w="0" w:type="dxa"/>
            </w:tcMar>
            <w:vAlign w:val="center"/>
          </w:tcPr>
          <w:p w:rsidR="00F83447" w:rsidRDefault="0028555D">
            <w:pPr>
              <w:keepNext/>
              <w:keepLines/>
              <w:spacing w:after="0" w:line="240" w:lineRule="auto"/>
            </w:pPr>
            <w:r>
              <w:rPr>
                <w:sz w:val="18"/>
              </w:rPr>
              <w:t>PRIHODI POSLOVANJA (šifre 61+62+63+64+65+66+67+68)</w:t>
            </w:r>
          </w:p>
        </w:tc>
        <w:tc>
          <w:tcPr>
            <w:tcW w:w="700" w:type="dxa"/>
            <w:tcMar>
              <w:top w:w="0" w:type="dxa"/>
              <w:bottom w:w="0" w:type="dxa"/>
            </w:tcMar>
            <w:vAlign w:val="center"/>
          </w:tcPr>
          <w:p w:rsidR="00F83447" w:rsidRDefault="0028555D">
            <w:pPr>
              <w:keepNext/>
              <w:keepLines/>
              <w:spacing w:after="0" w:line="240" w:lineRule="auto"/>
            </w:pPr>
            <w:r>
              <w:rPr>
                <w:sz w:val="18"/>
              </w:rPr>
              <w:t>6</w:t>
            </w:r>
          </w:p>
        </w:tc>
        <w:tc>
          <w:tcPr>
            <w:tcW w:w="1860" w:type="dxa"/>
            <w:tcMar>
              <w:top w:w="0" w:type="dxa"/>
              <w:bottom w:w="0" w:type="dxa"/>
            </w:tcMar>
            <w:vAlign w:val="center"/>
          </w:tcPr>
          <w:p w:rsidR="00F83447" w:rsidRDefault="0028555D">
            <w:pPr>
              <w:keepNext/>
              <w:keepLines/>
              <w:spacing w:after="0" w:line="240" w:lineRule="auto"/>
              <w:jc w:val="right"/>
            </w:pPr>
            <w:r>
              <w:rPr>
                <w:sz w:val="18"/>
              </w:rPr>
              <w:t>13.580.303,01</w:t>
            </w:r>
          </w:p>
        </w:tc>
        <w:tc>
          <w:tcPr>
            <w:tcW w:w="1860" w:type="dxa"/>
            <w:tcMar>
              <w:top w:w="0" w:type="dxa"/>
              <w:bottom w:w="0" w:type="dxa"/>
            </w:tcMar>
            <w:vAlign w:val="center"/>
          </w:tcPr>
          <w:p w:rsidR="00F83447" w:rsidRDefault="0028555D">
            <w:pPr>
              <w:keepNext/>
              <w:keepLines/>
              <w:spacing w:after="0" w:line="240" w:lineRule="auto"/>
              <w:jc w:val="right"/>
            </w:pPr>
            <w:r>
              <w:rPr>
                <w:sz w:val="18"/>
              </w:rPr>
              <w:t>18.455.296,96</w:t>
            </w:r>
          </w:p>
        </w:tc>
        <w:tc>
          <w:tcPr>
            <w:tcW w:w="700" w:type="dxa"/>
            <w:tcMar>
              <w:top w:w="0" w:type="dxa"/>
              <w:bottom w:w="0" w:type="dxa"/>
            </w:tcMar>
            <w:vAlign w:val="center"/>
          </w:tcPr>
          <w:p w:rsidR="00F83447" w:rsidRDefault="0028555D">
            <w:pPr>
              <w:keepNext/>
              <w:keepLines/>
              <w:spacing w:after="0" w:line="240" w:lineRule="auto"/>
              <w:jc w:val="right"/>
            </w:pPr>
            <w:r>
              <w:rPr>
                <w:sz w:val="18"/>
              </w:rPr>
              <w:t>135,9</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w:t>
            </w:r>
          </w:p>
        </w:tc>
        <w:tc>
          <w:tcPr>
            <w:tcW w:w="3180" w:type="dxa"/>
            <w:tcMar>
              <w:top w:w="0" w:type="dxa"/>
              <w:bottom w:w="0" w:type="dxa"/>
            </w:tcMar>
            <w:vAlign w:val="center"/>
          </w:tcPr>
          <w:p w:rsidR="00F83447" w:rsidRDefault="0028555D">
            <w:pPr>
              <w:keepNext/>
              <w:keepLines/>
              <w:spacing w:after="0" w:line="240" w:lineRule="auto"/>
            </w:pPr>
            <w:r>
              <w:rPr>
                <w:sz w:val="18"/>
              </w:rPr>
              <w:t>RASHODI POSLOVANJA (šifre 31+32+34+35+36+37+38)</w:t>
            </w:r>
          </w:p>
        </w:tc>
        <w:tc>
          <w:tcPr>
            <w:tcW w:w="700" w:type="dxa"/>
            <w:tcMar>
              <w:top w:w="0" w:type="dxa"/>
              <w:bottom w:w="0" w:type="dxa"/>
            </w:tcMar>
            <w:vAlign w:val="center"/>
          </w:tcPr>
          <w:p w:rsidR="00F83447" w:rsidRDefault="0028555D">
            <w:pPr>
              <w:keepNext/>
              <w:keepLines/>
              <w:spacing w:after="0" w:line="240" w:lineRule="auto"/>
            </w:pPr>
            <w:r>
              <w:rPr>
                <w:sz w:val="18"/>
              </w:rPr>
              <w:t>3</w:t>
            </w:r>
          </w:p>
        </w:tc>
        <w:tc>
          <w:tcPr>
            <w:tcW w:w="1860" w:type="dxa"/>
            <w:tcMar>
              <w:top w:w="0" w:type="dxa"/>
              <w:bottom w:w="0" w:type="dxa"/>
            </w:tcMar>
            <w:vAlign w:val="center"/>
          </w:tcPr>
          <w:p w:rsidR="00F83447" w:rsidRDefault="0028555D">
            <w:pPr>
              <w:keepNext/>
              <w:keepLines/>
              <w:spacing w:after="0" w:line="240" w:lineRule="auto"/>
              <w:jc w:val="right"/>
            </w:pPr>
            <w:r>
              <w:rPr>
                <w:sz w:val="18"/>
              </w:rPr>
              <w:t>11.882.208,51</w:t>
            </w:r>
          </w:p>
        </w:tc>
        <w:tc>
          <w:tcPr>
            <w:tcW w:w="1860" w:type="dxa"/>
            <w:tcMar>
              <w:top w:w="0" w:type="dxa"/>
              <w:bottom w:w="0" w:type="dxa"/>
            </w:tcMar>
            <w:vAlign w:val="center"/>
          </w:tcPr>
          <w:p w:rsidR="00F83447" w:rsidRDefault="0028555D">
            <w:pPr>
              <w:keepNext/>
              <w:keepLines/>
              <w:spacing w:after="0" w:line="240" w:lineRule="auto"/>
              <w:jc w:val="right"/>
            </w:pPr>
            <w:r>
              <w:rPr>
                <w:sz w:val="18"/>
              </w:rPr>
              <w:t>12.402.869,16</w:t>
            </w:r>
          </w:p>
        </w:tc>
        <w:tc>
          <w:tcPr>
            <w:tcW w:w="700" w:type="dxa"/>
            <w:tcMar>
              <w:top w:w="0" w:type="dxa"/>
              <w:bottom w:w="0" w:type="dxa"/>
            </w:tcMar>
            <w:vAlign w:val="center"/>
          </w:tcPr>
          <w:p w:rsidR="00F83447" w:rsidRDefault="0028555D">
            <w:pPr>
              <w:keepNext/>
              <w:keepLines/>
              <w:spacing w:after="0" w:line="240" w:lineRule="auto"/>
              <w:jc w:val="right"/>
            </w:pPr>
            <w:r>
              <w:rPr>
                <w:sz w:val="18"/>
              </w:rPr>
              <w:t>104,4</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b/>
                <w:sz w:val="18"/>
              </w:rPr>
              <w:t>VIŠAK PRIHODA POSLOVANJA (šifre 6-Z005)</w:t>
            </w:r>
          </w:p>
        </w:tc>
        <w:tc>
          <w:tcPr>
            <w:tcW w:w="700" w:type="dxa"/>
            <w:tcMar>
              <w:top w:w="0" w:type="dxa"/>
              <w:bottom w:w="0" w:type="dxa"/>
            </w:tcMar>
            <w:vAlign w:val="center"/>
          </w:tcPr>
          <w:p w:rsidR="00F83447" w:rsidRDefault="0028555D">
            <w:pPr>
              <w:keepNext/>
              <w:keepLines/>
              <w:spacing w:after="0" w:line="240" w:lineRule="auto"/>
            </w:pPr>
            <w:r>
              <w:rPr>
                <w:b/>
                <w:sz w:val="18"/>
              </w:rPr>
              <w:t>X001</w:t>
            </w:r>
          </w:p>
        </w:tc>
        <w:tc>
          <w:tcPr>
            <w:tcW w:w="1860" w:type="dxa"/>
            <w:tcMar>
              <w:top w:w="0" w:type="dxa"/>
              <w:bottom w:w="0" w:type="dxa"/>
            </w:tcMar>
            <w:vAlign w:val="center"/>
          </w:tcPr>
          <w:p w:rsidR="00F83447" w:rsidRDefault="0028555D">
            <w:pPr>
              <w:keepNext/>
              <w:keepLines/>
              <w:spacing w:after="0" w:line="240" w:lineRule="auto"/>
              <w:jc w:val="right"/>
            </w:pPr>
            <w:r>
              <w:rPr>
                <w:b/>
                <w:sz w:val="18"/>
              </w:rPr>
              <w:t>1.698.094,50</w:t>
            </w:r>
          </w:p>
        </w:tc>
        <w:tc>
          <w:tcPr>
            <w:tcW w:w="1860" w:type="dxa"/>
            <w:tcMar>
              <w:top w:w="0" w:type="dxa"/>
              <w:bottom w:w="0" w:type="dxa"/>
            </w:tcMar>
            <w:vAlign w:val="center"/>
          </w:tcPr>
          <w:p w:rsidR="00F83447" w:rsidRDefault="0028555D">
            <w:pPr>
              <w:keepNext/>
              <w:keepLines/>
              <w:spacing w:after="0" w:line="240" w:lineRule="auto"/>
              <w:jc w:val="right"/>
            </w:pPr>
            <w:r>
              <w:rPr>
                <w:b/>
                <w:sz w:val="18"/>
              </w:rPr>
              <w:t>6.052.427,80</w:t>
            </w:r>
          </w:p>
        </w:tc>
        <w:tc>
          <w:tcPr>
            <w:tcW w:w="700" w:type="dxa"/>
            <w:tcMar>
              <w:top w:w="0" w:type="dxa"/>
              <w:bottom w:w="0" w:type="dxa"/>
            </w:tcMar>
            <w:vAlign w:val="center"/>
          </w:tcPr>
          <w:p w:rsidR="00F83447" w:rsidRDefault="0028555D">
            <w:pPr>
              <w:keepNext/>
              <w:keepLines/>
              <w:spacing w:after="0" w:line="240" w:lineRule="auto"/>
              <w:jc w:val="right"/>
            </w:pPr>
            <w:r>
              <w:rPr>
                <w:b/>
                <w:sz w:val="18"/>
              </w:rPr>
              <w:t>356,4</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7</w:t>
            </w:r>
          </w:p>
        </w:tc>
        <w:tc>
          <w:tcPr>
            <w:tcW w:w="3180" w:type="dxa"/>
            <w:tcMar>
              <w:top w:w="0" w:type="dxa"/>
              <w:bottom w:w="0" w:type="dxa"/>
            </w:tcMar>
            <w:vAlign w:val="center"/>
          </w:tcPr>
          <w:p w:rsidR="00F83447" w:rsidRDefault="0028555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83447" w:rsidRDefault="0028555D">
            <w:pPr>
              <w:keepNext/>
              <w:keepLines/>
              <w:spacing w:after="0" w:line="240" w:lineRule="auto"/>
            </w:pPr>
            <w:r>
              <w:rPr>
                <w:sz w:val="18"/>
              </w:rPr>
              <w:t>7</w:t>
            </w:r>
          </w:p>
        </w:tc>
        <w:tc>
          <w:tcPr>
            <w:tcW w:w="1860" w:type="dxa"/>
            <w:tcMar>
              <w:top w:w="0" w:type="dxa"/>
              <w:bottom w:w="0" w:type="dxa"/>
            </w:tcMar>
            <w:vAlign w:val="center"/>
          </w:tcPr>
          <w:p w:rsidR="00F83447" w:rsidRDefault="0028555D">
            <w:pPr>
              <w:keepNext/>
              <w:keepLines/>
              <w:spacing w:after="0" w:line="240" w:lineRule="auto"/>
              <w:jc w:val="right"/>
            </w:pPr>
            <w:r>
              <w:rPr>
                <w:sz w:val="18"/>
              </w:rPr>
              <w:t>0,00</w:t>
            </w:r>
          </w:p>
        </w:tc>
        <w:tc>
          <w:tcPr>
            <w:tcW w:w="1860" w:type="dxa"/>
            <w:tcMar>
              <w:top w:w="0" w:type="dxa"/>
              <w:bottom w:w="0" w:type="dxa"/>
            </w:tcMar>
            <w:vAlign w:val="center"/>
          </w:tcPr>
          <w:p w:rsidR="00F83447" w:rsidRDefault="0028555D">
            <w:pPr>
              <w:keepNext/>
              <w:keepLines/>
              <w:spacing w:after="0" w:line="240" w:lineRule="auto"/>
              <w:jc w:val="right"/>
            </w:pPr>
            <w:r>
              <w:rPr>
                <w:sz w:val="18"/>
              </w:rPr>
              <w:t>0,00</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4</w:t>
            </w:r>
          </w:p>
        </w:tc>
        <w:tc>
          <w:tcPr>
            <w:tcW w:w="3180" w:type="dxa"/>
            <w:tcMar>
              <w:top w:w="0" w:type="dxa"/>
              <w:bottom w:w="0" w:type="dxa"/>
            </w:tcMar>
            <w:vAlign w:val="center"/>
          </w:tcPr>
          <w:p w:rsidR="00F83447" w:rsidRDefault="0028555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83447" w:rsidRDefault="0028555D">
            <w:pPr>
              <w:keepNext/>
              <w:keepLines/>
              <w:spacing w:after="0" w:line="240" w:lineRule="auto"/>
            </w:pPr>
            <w:r>
              <w:rPr>
                <w:sz w:val="18"/>
              </w:rPr>
              <w:t>4</w:t>
            </w:r>
          </w:p>
        </w:tc>
        <w:tc>
          <w:tcPr>
            <w:tcW w:w="1860" w:type="dxa"/>
            <w:tcMar>
              <w:top w:w="0" w:type="dxa"/>
              <w:bottom w:w="0" w:type="dxa"/>
            </w:tcMar>
            <w:vAlign w:val="center"/>
          </w:tcPr>
          <w:p w:rsidR="00F83447" w:rsidRDefault="0028555D">
            <w:pPr>
              <w:keepNext/>
              <w:keepLines/>
              <w:spacing w:after="0" w:line="240" w:lineRule="auto"/>
              <w:jc w:val="right"/>
            </w:pPr>
            <w:r>
              <w:rPr>
                <w:sz w:val="18"/>
              </w:rPr>
              <w:t>3.440.580,09</w:t>
            </w:r>
          </w:p>
        </w:tc>
        <w:tc>
          <w:tcPr>
            <w:tcW w:w="1860" w:type="dxa"/>
            <w:tcMar>
              <w:top w:w="0" w:type="dxa"/>
              <w:bottom w:w="0" w:type="dxa"/>
            </w:tcMar>
            <w:vAlign w:val="center"/>
          </w:tcPr>
          <w:p w:rsidR="00F83447" w:rsidRDefault="0028555D">
            <w:pPr>
              <w:keepNext/>
              <w:keepLines/>
              <w:spacing w:after="0" w:line="240" w:lineRule="auto"/>
              <w:jc w:val="right"/>
            </w:pPr>
            <w:r>
              <w:rPr>
                <w:sz w:val="18"/>
              </w:rPr>
              <w:t>14.719.521,17</w:t>
            </w:r>
          </w:p>
        </w:tc>
        <w:tc>
          <w:tcPr>
            <w:tcW w:w="700" w:type="dxa"/>
            <w:tcMar>
              <w:top w:w="0" w:type="dxa"/>
              <w:bottom w:w="0" w:type="dxa"/>
            </w:tcMar>
            <w:vAlign w:val="center"/>
          </w:tcPr>
          <w:p w:rsidR="00F83447" w:rsidRDefault="0028555D">
            <w:pPr>
              <w:keepNext/>
              <w:keepLines/>
              <w:spacing w:after="0" w:line="240" w:lineRule="auto"/>
              <w:jc w:val="right"/>
            </w:pPr>
            <w:r>
              <w:rPr>
                <w:sz w:val="18"/>
              </w:rPr>
              <w:t>427,8</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83447" w:rsidRDefault="0028555D">
            <w:pPr>
              <w:keepNext/>
              <w:keepLines/>
              <w:spacing w:after="0" w:line="240" w:lineRule="auto"/>
            </w:pPr>
            <w:r>
              <w:rPr>
                <w:b/>
                <w:sz w:val="18"/>
              </w:rPr>
              <w:t>Y002</w:t>
            </w:r>
          </w:p>
        </w:tc>
        <w:tc>
          <w:tcPr>
            <w:tcW w:w="1860" w:type="dxa"/>
            <w:tcMar>
              <w:top w:w="0" w:type="dxa"/>
              <w:bottom w:w="0" w:type="dxa"/>
            </w:tcMar>
            <w:vAlign w:val="center"/>
          </w:tcPr>
          <w:p w:rsidR="00F83447" w:rsidRDefault="0028555D">
            <w:pPr>
              <w:keepNext/>
              <w:keepLines/>
              <w:spacing w:after="0" w:line="240" w:lineRule="auto"/>
              <w:jc w:val="right"/>
            </w:pPr>
            <w:r>
              <w:rPr>
                <w:b/>
                <w:sz w:val="18"/>
              </w:rPr>
              <w:t>3.440.580,09</w:t>
            </w:r>
          </w:p>
        </w:tc>
        <w:tc>
          <w:tcPr>
            <w:tcW w:w="1860" w:type="dxa"/>
            <w:tcMar>
              <w:top w:w="0" w:type="dxa"/>
              <w:bottom w:w="0" w:type="dxa"/>
            </w:tcMar>
            <w:vAlign w:val="center"/>
          </w:tcPr>
          <w:p w:rsidR="00F83447" w:rsidRDefault="0028555D">
            <w:pPr>
              <w:keepNext/>
              <w:keepLines/>
              <w:spacing w:after="0" w:line="240" w:lineRule="auto"/>
              <w:jc w:val="right"/>
            </w:pPr>
            <w:r>
              <w:rPr>
                <w:b/>
                <w:sz w:val="18"/>
              </w:rPr>
              <w:t>14.719.521,17</w:t>
            </w:r>
          </w:p>
        </w:tc>
        <w:tc>
          <w:tcPr>
            <w:tcW w:w="700" w:type="dxa"/>
            <w:tcMar>
              <w:top w:w="0" w:type="dxa"/>
              <w:bottom w:w="0" w:type="dxa"/>
            </w:tcMar>
            <w:vAlign w:val="center"/>
          </w:tcPr>
          <w:p w:rsidR="00F83447" w:rsidRDefault="0028555D">
            <w:pPr>
              <w:keepNext/>
              <w:keepLines/>
              <w:spacing w:after="0" w:line="240" w:lineRule="auto"/>
              <w:jc w:val="right"/>
            </w:pPr>
            <w:r>
              <w:rPr>
                <w:b/>
                <w:sz w:val="18"/>
              </w:rPr>
              <w:t>427,8</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8</w:t>
            </w:r>
          </w:p>
        </w:tc>
        <w:tc>
          <w:tcPr>
            <w:tcW w:w="3180" w:type="dxa"/>
            <w:tcMar>
              <w:top w:w="0" w:type="dxa"/>
              <w:bottom w:w="0" w:type="dxa"/>
            </w:tcMar>
            <w:vAlign w:val="center"/>
          </w:tcPr>
          <w:p w:rsidR="00F83447" w:rsidRDefault="0028555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83447" w:rsidRDefault="0028555D">
            <w:pPr>
              <w:keepNext/>
              <w:keepLines/>
              <w:spacing w:after="0" w:line="240" w:lineRule="auto"/>
            </w:pPr>
            <w:r>
              <w:rPr>
                <w:sz w:val="18"/>
              </w:rPr>
              <w:t>8</w:t>
            </w:r>
          </w:p>
        </w:tc>
        <w:tc>
          <w:tcPr>
            <w:tcW w:w="1860" w:type="dxa"/>
            <w:tcMar>
              <w:top w:w="0" w:type="dxa"/>
              <w:bottom w:w="0" w:type="dxa"/>
            </w:tcMar>
            <w:vAlign w:val="center"/>
          </w:tcPr>
          <w:p w:rsidR="00F83447" w:rsidRDefault="0028555D">
            <w:pPr>
              <w:keepNext/>
              <w:keepLines/>
              <w:spacing w:after="0" w:line="240" w:lineRule="auto"/>
              <w:jc w:val="right"/>
            </w:pPr>
            <w:r>
              <w:rPr>
                <w:sz w:val="18"/>
              </w:rPr>
              <w:t>0,00</w:t>
            </w:r>
          </w:p>
        </w:tc>
        <w:tc>
          <w:tcPr>
            <w:tcW w:w="1860" w:type="dxa"/>
            <w:tcMar>
              <w:top w:w="0" w:type="dxa"/>
              <w:bottom w:w="0" w:type="dxa"/>
            </w:tcMar>
            <w:vAlign w:val="center"/>
          </w:tcPr>
          <w:p w:rsidR="00F83447" w:rsidRDefault="0028555D">
            <w:pPr>
              <w:keepNext/>
              <w:keepLines/>
              <w:spacing w:after="0" w:line="240" w:lineRule="auto"/>
              <w:jc w:val="right"/>
            </w:pPr>
            <w:r>
              <w:rPr>
                <w:sz w:val="18"/>
              </w:rPr>
              <w:t>5.000.000,00</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5</w:t>
            </w:r>
          </w:p>
        </w:tc>
        <w:tc>
          <w:tcPr>
            <w:tcW w:w="3180" w:type="dxa"/>
            <w:tcMar>
              <w:top w:w="0" w:type="dxa"/>
              <w:bottom w:w="0" w:type="dxa"/>
            </w:tcMar>
            <w:vAlign w:val="center"/>
          </w:tcPr>
          <w:p w:rsidR="00F83447" w:rsidRDefault="0028555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F83447" w:rsidRDefault="0028555D">
            <w:pPr>
              <w:keepNext/>
              <w:keepLines/>
              <w:spacing w:after="0" w:line="240" w:lineRule="auto"/>
            </w:pPr>
            <w:r>
              <w:rPr>
                <w:sz w:val="18"/>
              </w:rPr>
              <w:t>5</w:t>
            </w:r>
          </w:p>
        </w:tc>
        <w:tc>
          <w:tcPr>
            <w:tcW w:w="1860" w:type="dxa"/>
            <w:tcMar>
              <w:top w:w="0" w:type="dxa"/>
              <w:bottom w:w="0" w:type="dxa"/>
            </w:tcMar>
            <w:vAlign w:val="center"/>
          </w:tcPr>
          <w:p w:rsidR="00F83447" w:rsidRDefault="0028555D">
            <w:pPr>
              <w:keepNext/>
              <w:keepLines/>
              <w:spacing w:after="0" w:line="240" w:lineRule="auto"/>
              <w:jc w:val="right"/>
            </w:pPr>
            <w:r>
              <w:rPr>
                <w:sz w:val="18"/>
              </w:rPr>
              <w:t>609.115,06</w:t>
            </w:r>
          </w:p>
        </w:tc>
        <w:tc>
          <w:tcPr>
            <w:tcW w:w="1860" w:type="dxa"/>
            <w:tcMar>
              <w:top w:w="0" w:type="dxa"/>
              <w:bottom w:w="0" w:type="dxa"/>
            </w:tcMar>
            <w:vAlign w:val="center"/>
          </w:tcPr>
          <w:p w:rsidR="00F83447" w:rsidRDefault="0028555D">
            <w:pPr>
              <w:keepNext/>
              <w:keepLines/>
              <w:spacing w:after="0" w:line="240" w:lineRule="auto"/>
              <w:jc w:val="right"/>
            </w:pPr>
            <w:r>
              <w:rPr>
                <w:sz w:val="18"/>
              </w:rPr>
              <w:t>795.988,09</w:t>
            </w:r>
          </w:p>
        </w:tc>
        <w:tc>
          <w:tcPr>
            <w:tcW w:w="700" w:type="dxa"/>
            <w:tcMar>
              <w:top w:w="0" w:type="dxa"/>
              <w:bottom w:w="0" w:type="dxa"/>
            </w:tcMar>
            <w:vAlign w:val="center"/>
          </w:tcPr>
          <w:p w:rsidR="00F83447" w:rsidRDefault="0028555D">
            <w:pPr>
              <w:keepNext/>
              <w:keepLines/>
              <w:spacing w:after="0" w:line="240" w:lineRule="auto"/>
              <w:jc w:val="right"/>
            </w:pPr>
            <w:r>
              <w:rPr>
                <w:sz w:val="18"/>
              </w:rPr>
              <w:t>130,7</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rsidR="00F83447" w:rsidRDefault="0028555D">
            <w:pPr>
              <w:keepNext/>
              <w:keepLines/>
              <w:spacing w:after="0" w:line="240" w:lineRule="auto"/>
            </w:pPr>
            <w:r>
              <w:rPr>
                <w:b/>
                <w:sz w:val="18"/>
              </w:rPr>
              <w:t>X003</w:t>
            </w:r>
          </w:p>
        </w:tc>
        <w:tc>
          <w:tcPr>
            <w:tcW w:w="1860" w:type="dxa"/>
            <w:tcMar>
              <w:top w:w="0" w:type="dxa"/>
              <w:bottom w:w="0" w:type="dxa"/>
            </w:tcMar>
            <w:vAlign w:val="center"/>
          </w:tcPr>
          <w:p w:rsidR="00F83447" w:rsidRDefault="0028555D">
            <w:pPr>
              <w:keepNext/>
              <w:keepLines/>
              <w:spacing w:after="0" w:line="240" w:lineRule="auto"/>
              <w:jc w:val="right"/>
            </w:pPr>
            <w:r>
              <w:rPr>
                <w:b/>
                <w:sz w:val="18"/>
              </w:rPr>
              <w:t>0,00</w:t>
            </w:r>
          </w:p>
        </w:tc>
        <w:tc>
          <w:tcPr>
            <w:tcW w:w="1860" w:type="dxa"/>
            <w:tcMar>
              <w:top w:w="0" w:type="dxa"/>
              <w:bottom w:w="0" w:type="dxa"/>
            </w:tcMar>
            <w:vAlign w:val="center"/>
          </w:tcPr>
          <w:p w:rsidR="00F83447" w:rsidRDefault="0028555D">
            <w:pPr>
              <w:keepNext/>
              <w:keepLines/>
              <w:spacing w:after="0" w:line="240" w:lineRule="auto"/>
              <w:jc w:val="right"/>
            </w:pPr>
            <w:r>
              <w:rPr>
                <w:b/>
                <w:sz w:val="18"/>
              </w:rPr>
              <w:t>4.204.011,91</w:t>
            </w:r>
          </w:p>
        </w:tc>
        <w:tc>
          <w:tcPr>
            <w:tcW w:w="700" w:type="dxa"/>
            <w:tcMar>
              <w:top w:w="0" w:type="dxa"/>
              <w:bottom w:w="0" w:type="dxa"/>
            </w:tcMar>
            <w:vAlign w:val="center"/>
          </w:tcPr>
          <w:p w:rsidR="00F83447" w:rsidRDefault="0028555D">
            <w:pPr>
              <w:keepNext/>
              <w:keepLines/>
              <w:spacing w:after="0" w:line="240" w:lineRule="auto"/>
              <w:jc w:val="right"/>
            </w:pPr>
            <w:r>
              <w:rPr>
                <w:b/>
                <w:sz w:val="18"/>
              </w:rPr>
              <w:t>-</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b/>
                <w:sz w:val="18"/>
              </w:rPr>
              <w:t>MANJAK PRIHODA I PRIMITAKA (šifre Y345-X678)</w:t>
            </w:r>
          </w:p>
        </w:tc>
        <w:tc>
          <w:tcPr>
            <w:tcW w:w="700" w:type="dxa"/>
            <w:tcMar>
              <w:top w:w="0" w:type="dxa"/>
              <w:bottom w:w="0" w:type="dxa"/>
            </w:tcMar>
            <w:vAlign w:val="center"/>
          </w:tcPr>
          <w:p w:rsidR="00F83447" w:rsidRDefault="0028555D">
            <w:pPr>
              <w:keepNext/>
              <w:keepLines/>
              <w:spacing w:after="0" w:line="240" w:lineRule="auto"/>
            </w:pPr>
            <w:r>
              <w:rPr>
                <w:b/>
                <w:sz w:val="18"/>
              </w:rPr>
              <w:t>Y005</w:t>
            </w:r>
          </w:p>
        </w:tc>
        <w:tc>
          <w:tcPr>
            <w:tcW w:w="1860" w:type="dxa"/>
            <w:tcMar>
              <w:top w:w="0" w:type="dxa"/>
              <w:bottom w:w="0" w:type="dxa"/>
            </w:tcMar>
            <w:vAlign w:val="center"/>
          </w:tcPr>
          <w:p w:rsidR="00F83447" w:rsidRDefault="0028555D">
            <w:pPr>
              <w:keepNext/>
              <w:keepLines/>
              <w:spacing w:after="0" w:line="240" w:lineRule="auto"/>
              <w:jc w:val="right"/>
            </w:pPr>
            <w:r>
              <w:rPr>
                <w:b/>
                <w:sz w:val="18"/>
              </w:rPr>
              <w:t>2.351.600,65</w:t>
            </w:r>
          </w:p>
        </w:tc>
        <w:tc>
          <w:tcPr>
            <w:tcW w:w="1860" w:type="dxa"/>
            <w:tcMar>
              <w:top w:w="0" w:type="dxa"/>
              <w:bottom w:w="0" w:type="dxa"/>
            </w:tcMar>
            <w:vAlign w:val="center"/>
          </w:tcPr>
          <w:p w:rsidR="00F83447" w:rsidRDefault="0028555D">
            <w:pPr>
              <w:keepNext/>
              <w:keepLines/>
              <w:spacing w:after="0" w:line="240" w:lineRule="auto"/>
              <w:jc w:val="right"/>
            </w:pPr>
            <w:r>
              <w:rPr>
                <w:b/>
                <w:sz w:val="18"/>
              </w:rPr>
              <w:t>4.463.081,46</w:t>
            </w:r>
          </w:p>
        </w:tc>
        <w:tc>
          <w:tcPr>
            <w:tcW w:w="700" w:type="dxa"/>
            <w:tcMar>
              <w:top w:w="0" w:type="dxa"/>
              <w:bottom w:w="0" w:type="dxa"/>
            </w:tcMar>
            <w:vAlign w:val="center"/>
          </w:tcPr>
          <w:p w:rsidR="00F83447" w:rsidRDefault="0028555D">
            <w:pPr>
              <w:keepNext/>
              <w:keepLines/>
              <w:spacing w:after="0" w:line="240" w:lineRule="auto"/>
              <w:jc w:val="right"/>
            </w:pPr>
            <w:r>
              <w:rPr>
                <w:b/>
                <w:sz w:val="18"/>
              </w:rPr>
              <w:t>189,8</w:t>
            </w:r>
          </w:p>
        </w:tc>
      </w:tr>
    </w:tbl>
    <w:p w:rsidR="00F83447" w:rsidRDefault="00F83447">
      <w:pPr>
        <w:spacing w:after="0"/>
      </w:pPr>
    </w:p>
    <w:p w:rsidR="00F83447" w:rsidRDefault="0028555D" w:rsidP="001F2A9B">
      <w:pPr>
        <w:jc w:val="both"/>
      </w:pPr>
      <w:r>
        <w:t xml:space="preserve">U izvještajnom razdoblju ostvaren je ukupni manjak prihoda i primitaka u iznosu od 4.463.081,46 eura. Na razini poslovanja ostvaren je višak prihoda poslovanja u iznosu od 6.052.427,80 eura, dok je istodobno iskazan manjak prihoda od nefinancijske imovine u iznosu od 14.719.521,17 eura, koji je posljedica značajnih ulaganja u nabavu nefinancijske imovine i provedbu kapitalnih investicijskih projekata. Najznačajniji dio investicijskih aktivnosti odnosi se na provedbu projekta „Unapređenje kvalitete smještaja i sadržaja hotela Minerva“, koji se </w:t>
      </w:r>
      <w:r>
        <w:lastRenderedPageBreak/>
        <w:t>nalazi u završnoj fazi realizacije. Tijekom izvještajnog razdoblja nastavljen je intenzivan obujam ulaganja kroz izvršenje ugovorenih građevinskih radova i nabavu pripadajuće opreme. Projekt se financira iz više izvora, uključujući sredstva Europske unije, kreditna sredstva, pomoći Ministarstva zdravstva, sredstva Županijskog proračuna te vlastita sredstva Ustanove. Ostvareni višak prihoda poslovanja u najvećoj se mjeri koristi za pokriće manjka prihoda od nefinancijske imovine, pri čemu su sredstva Europske unije u iznosu od 5.925.007,51 eura evidentirana u okviru prihoda poslovanja, sukladno propisanim računovodstvenim pravilima za financiranje kapitalnih ulaganja. U dijelu financijske imovine i zaduživanja ostvaren je višak u iznosu od 4.204.011,91 eura, koji proizlazi iz dinamike korištenja izvora financiranja kapitalnih ulaganja. Ukupno iskazani manjak prihoda i primitaka za izvještajno razdoblje odraz je povećanog intenziteta investicijskih aktivnosti povezanih s provedbom kapitalnog projekta. Budući da dio planiranih sredstava iz ugovorenih izvora financiranja do dana sastavljanja financijskih izvješća još nije bio refundiran, konačni financijski rezultat privremeno iskazuje negativnu vrijednost. Po izvršenju planiranih refundacija iz odobrenih izvora financiranja, navedeni će se učinak odgovarajuće odraziti na financijski rezultat u narednim izvještajnim razdobljima.</w:t>
      </w:r>
    </w:p>
    <w:p w:rsidR="00F83447" w:rsidRDefault="0028555D">
      <w:r>
        <w:br/>
      </w:r>
    </w:p>
    <w:p w:rsidR="00F83447" w:rsidRDefault="0028555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63</w:t>
            </w:r>
          </w:p>
        </w:tc>
        <w:tc>
          <w:tcPr>
            <w:tcW w:w="3180" w:type="dxa"/>
            <w:tcMar>
              <w:top w:w="0" w:type="dxa"/>
              <w:bottom w:w="0" w:type="dxa"/>
            </w:tcMar>
            <w:vAlign w:val="center"/>
          </w:tcPr>
          <w:p w:rsidR="00F83447" w:rsidRDefault="0028555D">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rsidR="00F83447" w:rsidRDefault="0028555D">
            <w:pPr>
              <w:keepNext/>
              <w:keepLines/>
              <w:spacing w:after="0" w:line="240" w:lineRule="auto"/>
            </w:pPr>
            <w:r>
              <w:rPr>
                <w:sz w:val="18"/>
              </w:rPr>
              <w:t>63</w:t>
            </w:r>
          </w:p>
        </w:tc>
        <w:tc>
          <w:tcPr>
            <w:tcW w:w="1860" w:type="dxa"/>
            <w:tcMar>
              <w:top w:w="0" w:type="dxa"/>
              <w:bottom w:w="0" w:type="dxa"/>
            </w:tcMar>
            <w:vAlign w:val="center"/>
          </w:tcPr>
          <w:p w:rsidR="00F83447" w:rsidRDefault="0028555D">
            <w:pPr>
              <w:keepNext/>
              <w:keepLines/>
              <w:spacing w:after="0" w:line="240" w:lineRule="auto"/>
              <w:jc w:val="right"/>
            </w:pPr>
            <w:r>
              <w:rPr>
                <w:sz w:val="18"/>
              </w:rPr>
              <w:t>2.444.940,37</w:t>
            </w:r>
          </w:p>
        </w:tc>
        <w:tc>
          <w:tcPr>
            <w:tcW w:w="1860" w:type="dxa"/>
            <w:tcMar>
              <w:top w:w="0" w:type="dxa"/>
              <w:bottom w:w="0" w:type="dxa"/>
            </w:tcMar>
            <w:vAlign w:val="center"/>
          </w:tcPr>
          <w:p w:rsidR="00F83447" w:rsidRDefault="0028555D">
            <w:pPr>
              <w:keepNext/>
              <w:keepLines/>
              <w:spacing w:after="0" w:line="240" w:lineRule="auto"/>
              <w:jc w:val="right"/>
            </w:pPr>
            <w:r>
              <w:rPr>
                <w:sz w:val="18"/>
              </w:rPr>
              <w:t>6.046.364,56</w:t>
            </w:r>
          </w:p>
        </w:tc>
        <w:tc>
          <w:tcPr>
            <w:tcW w:w="700" w:type="dxa"/>
            <w:tcMar>
              <w:top w:w="0" w:type="dxa"/>
              <w:bottom w:w="0" w:type="dxa"/>
            </w:tcMar>
            <w:vAlign w:val="center"/>
          </w:tcPr>
          <w:p w:rsidR="00F83447" w:rsidRDefault="0028555D">
            <w:pPr>
              <w:keepNext/>
              <w:keepLines/>
              <w:spacing w:after="0" w:line="240" w:lineRule="auto"/>
              <w:jc w:val="right"/>
            </w:pPr>
            <w:r>
              <w:rPr>
                <w:sz w:val="18"/>
              </w:rPr>
              <w:t>247,3</w:t>
            </w:r>
          </w:p>
        </w:tc>
      </w:tr>
    </w:tbl>
    <w:p w:rsidR="00F83447" w:rsidRDefault="00F83447">
      <w:pPr>
        <w:spacing w:after="0"/>
      </w:pPr>
    </w:p>
    <w:p w:rsidR="00F83447" w:rsidRDefault="0028555D" w:rsidP="001F2A9B">
      <w:pPr>
        <w:jc w:val="both"/>
      </w:pPr>
      <w:r>
        <w:t>U prvih šest mjeseci 2026. godine ostvareni su prihodi od pomoći u ukupnom iznosu od 6.046.364,56 eura, što predstavlja povećanje od 147,3%, odnosno za 3.601.424,19 eura u odnosu na isto razdoblje 2025. godine. Značajan utjecaj na rast prihoda odnosi se na sredstva Hrvatskog zavoda za zdravstveno osiguranje za financiranje plaća pripravnika medicinske struke, koja u prethodnoj godini nisu bila ostvarena, budući da je financiranje tada bilo osigurano putem Hrvatskog zavoda za zapošljavanje. U 2026. godini zabilježeno je smanjenje sredstava Hrvatskog zavoda za zapošljavanje za navedenu namjenu za 94,97%, odnosno za 11.498,69 eura. Navedeno smanjenje posljedica je isteka ugovora o sufinanciranju, pri čemu su sredstva iskorištena u cijelosti. Istodobno su evidentirana sredstva Hrvatskog zavoda za zdravstveno osiguranje u iznosu od 110.769,95 eura za financiranje plaća pripravnika medicinske struke – ugovori potpisani u zadnjem kvartalu poslovne 2025. godine. Dodatno, ostvaren je porast prihoda za refundaciju troškova dežurstva liječnice na specijalizaciji za 54,79%, odnosno za 1.592,20 eura – prethodne godine nismo imali navedene prihode od HZZO-a. S druge strane, prihodi iz fondova Europske unije za financiranje plaća pripravnika medicinske struke smanjeni su za 94,78%, odnosno za 81.804,81 eura, pri čemu su dodijeljena sredstva u potpunosti iskorištena u drugom kvartalu poslovne godine. Istodobno je iz fondova Europske unije evidentirano povećanje prihoda za sufinanciranje projekta „Unapređenje kvalitete smještaja i sadržaja hotela Minerva“ za 162,40% ili za 3.667.036,02 eura.</w:t>
      </w:r>
    </w:p>
    <w:p w:rsidR="00F83447" w:rsidRDefault="00F83447"/>
    <w:p w:rsidR="00F83447" w:rsidRDefault="0028555D">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634</w:t>
            </w:r>
          </w:p>
        </w:tc>
        <w:tc>
          <w:tcPr>
            <w:tcW w:w="3180" w:type="dxa"/>
            <w:tcMar>
              <w:top w:w="0" w:type="dxa"/>
              <w:bottom w:w="0" w:type="dxa"/>
            </w:tcMar>
            <w:vAlign w:val="center"/>
          </w:tcPr>
          <w:p w:rsidR="00F83447" w:rsidRDefault="0028555D">
            <w:pPr>
              <w:keepNext/>
              <w:keepLines/>
              <w:spacing w:after="0" w:line="240" w:lineRule="auto"/>
            </w:pPr>
            <w:r>
              <w:rPr>
                <w:sz w:val="18"/>
              </w:rPr>
              <w:t>Pomoći od izvanproračunskih korisnika (šifre 6341+6342)</w:t>
            </w:r>
          </w:p>
        </w:tc>
        <w:tc>
          <w:tcPr>
            <w:tcW w:w="700" w:type="dxa"/>
            <w:tcMar>
              <w:top w:w="0" w:type="dxa"/>
              <w:bottom w:w="0" w:type="dxa"/>
            </w:tcMar>
            <w:vAlign w:val="center"/>
          </w:tcPr>
          <w:p w:rsidR="00F83447" w:rsidRDefault="0028555D">
            <w:pPr>
              <w:keepNext/>
              <w:keepLines/>
              <w:spacing w:after="0" w:line="240" w:lineRule="auto"/>
            </w:pPr>
            <w:r>
              <w:rPr>
                <w:sz w:val="18"/>
              </w:rPr>
              <w:t>634</w:t>
            </w:r>
          </w:p>
        </w:tc>
        <w:tc>
          <w:tcPr>
            <w:tcW w:w="1860" w:type="dxa"/>
            <w:tcMar>
              <w:top w:w="0" w:type="dxa"/>
              <w:bottom w:w="0" w:type="dxa"/>
            </w:tcMar>
            <w:vAlign w:val="center"/>
          </w:tcPr>
          <w:p w:rsidR="00F83447" w:rsidRDefault="0028555D">
            <w:pPr>
              <w:keepNext/>
              <w:keepLines/>
              <w:spacing w:after="0" w:line="240" w:lineRule="auto"/>
              <w:jc w:val="right"/>
            </w:pPr>
            <w:r>
              <w:rPr>
                <w:sz w:val="18"/>
              </w:rPr>
              <w:t>12.108,19</w:t>
            </w:r>
          </w:p>
        </w:tc>
        <w:tc>
          <w:tcPr>
            <w:tcW w:w="1860" w:type="dxa"/>
            <w:tcMar>
              <w:top w:w="0" w:type="dxa"/>
              <w:bottom w:w="0" w:type="dxa"/>
            </w:tcMar>
            <w:vAlign w:val="center"/>
          </w:tcPr>
          <w:p w:rsidR="00F83447" w:rsidRDefault="0028555D">
            <w:pPr>
              <w:keepNext/>
              <w:keepLines/>
              <w:spacing w:after="0" w:line="240" w:lineRule="auto"/>
              <w:jc w:val="right"/>
            </w:pPr>
            <w:r>
              <w:rPr>
                <w:sz w:val="18"/>
              </w:rPr>
              <w:t>111.379,45</w:t>
            </w:r>
          </w:p>
        </w:tc>
        <w:tc>
          <w:tcPr>
            <w:tcW w:w="700" w:type="dxa"/>
            <w:tcMar>
              <w:top w:w="0" w:type="dxa"/>
              <w:bottom w:w="0" w:type="dxa"/>
            </w:tcMar>
            <w:vAlign w:val="center"/>
          </w:tcPr>
          <w:p w:rsidR="00F83447" w:rsidRDefault="0028555D">
            <w:pPr>
              <w:keepNext/>
              <w:keepLines/>
              <w:spacing w:after="0" w:line="240" w:lineRule="auto"/>
              <w:jc w:val="right"/>
            </w:pPr>
            <w:r>
              <w:rPr>
                <w:sz w:val="18"/>
              </w:rPr>
              <w:t>919,9</w:t>
            </w:r>
          </w:p>
        </w:tc>
      </w:tr>
    </w:tbl>
    <w:p w:rsidR="00F83447" w:rsidRDefault="00F83447">
      <w:pPr>
        <w:spacing w:after="0"/>
      </w:pPr>
    </w:p>
    <w:p w:rsidR="00F83447" w:rsidRDefault="0028555D" w:rsidP="001F2A9B">
      <w:pPr>
        <w:jc w:val="both"/>
      </w:pPr>
      <w:r>
        <w:t>U promatranom razdoblju evidentirano je povećanje prihoda u iznosu od 99.271,26 eura, odnosno 819,90 % u odnosu na isto razdoblje prethodne godine. Značajan utjecaj na navedeno povećanje imaju sredstva Hrvatskog zavoda za zdravstveno osiguranje (HZZO) namijenjena financiranju plaća pripravnika medicinske struke, koja u prethodnoj godini nisu bila ostvarena jer je financiranje bilo osigurano putem Hrvatskog zavoda za zapošljavanje (HZZ). U tekućoj godini ostvarena su sredstva HZZO-a u iznosu od 110.769,95 eura, temeljem ugovora potpisanih u posljednjem kvartalu poslovne 2025. godine.</w:t>
      </w:r>
    </w:p>
    <w:p w:rsidR="00F83447" w:rsidRDefault="0028555D">
      <w:r>
        <w:t>Istodobno, u 2026. godini zabilježeno je smanjenje prihoda od sredstava Hrvatskog zavoda za zapošljavanje (HZZ) za istu namjenu u iznosu od 11.498,69 eura, odnosno 94,97 % u odnosu na prethodnu godinu. Smanjenje je posljedica isteka ugovora o sufinanciranju, pri čemu su sva odobrena sredstva iskorištena tijekom drugog kvartala poslovne 2026. godine.</w:t>
      </w:r>
    </w:p>
    <w:p w:rsidR="00F83447" w:rsidRDefault="00F83447"/>
    <w:p w:rsidR="00F83447" w:rsidRDefault="0028555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636</w:t>
            </w:r>
          </w:p>
        </w:tc>
        <w:tc>
          <w:tcPr>
            <w:tcW w:w="3180" w:type="dxa"/>
            <w:tcMar>
              <w:top w:w="0" w:type="dxa"/>
              <w:bottom w:w="0" w:type="dxa"/>
            </w:tcMar>
            <w:vAlign w:val="center"/>
          </w:tcPr>
          <w:p w:rsidR="00F83447" w:rsidRDefault="0028555D">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rsidR="00F83447" w:rsidRDefault="0028555D">
            <w:pPr>
              <w:keepNext/>
              <w:keepLines/>
              <w:spacing w:after="0" w:line="240" w:lineRule="auto"/>
            </w:pPr>
            <w:r>
              <w:rPr>
                <w:sz w:val="18"/>
              </w:rPr>
              <w:t>636</w:t>
            </w:r>
          </w:p>
        </w:tc>
        <w:tc>
          <w:tcPr>
            <w:tcW w:w="1860" w:type="dxa"/>
            <w:tcMar>
              <w:top w:w="0" w:type="dxa"/>
              <w:bottom w:w="0" w:type="dxa"/>
            </w:tcMar>
            <w:vAlign w:val="center"/>
          </w:tcPr>
          <w:p w:rsidR="00F83447" w:rsidRDefault="0028555D">
            <w:pPr>
              <w:keepNext/>
              <w:keepLines/>
              <w:spacing w:after="0" w:line="240" w:lineRule="auto"/>
              <w:jc w:val="right"/>
            </w:pPr>
            <w:r>
              <w:rPr>
                <w:sz w:val="18"/>
              </w:rPr>
              <w:t>88.552,03</w:t>
            </w:r>
          </w:p>
        </w:tc>
        <w:tc>
          <w:tcPr>
            <w:tcW w:w="1860" w:type="dxa"/>
            <w:tcMar>
              <w:top w:w="0" w:type="dxa"/>
              <w:bottom w:w="0" w:type="dxa"/>
            </w:tcMar>
            <w:vAlign w:val="center"/>
          </w:tcPr>
          <w:p w:rsidR="00F83447" w:rsidRDefault="0028555D">
            <w:pPr>
              <w:keepNext/>
              <w:keepLines/>
              <w:spacing w:after="0" w:line="240" w:lineRule="auto"/>
              <w:jc w:val="right"/>
            </w:pPr>
            <w:r>
              <w:rPr>
                <w:sz w:val="18"/>
              </w:rPr>
              <w:t>5.473,75</w:t>
            </w:r>
          </w:p>
        </w:tc>
        <w:tc>
          <w:tcPr>
            <w:tcW w:w="700" w:type="dxa"/>
            <w:tcMar>
              <w:top w:w="0" w:type="dxa"/>
              <w:bottom w:w="0" w:type="dxa"/>
            </w:tcMar>
            <w:vAlign w:val="center"/>
          </w:tcPr>
          <w:p w:rsidR="00F83447" w:rsidRDefault="0028555D">
            <w:pPr>
              <w:keepNext/>
              <w:keepLines/>
              <w:spacing w:after="0" w:line="240" w:lineRule="auto"/>
              <w:jc w:val="right"/>
            </w:pPr>
            <w:r>
              <w:rPr>
                <w:sz w:val="18"/>
              </w:rPr>
              <w:t>6,2</w:t>
            </w:r>
          </w:p>
        </w:tc>
      </w:tr>
    </w:tbl>
    <w:p w:rsidR="00F83447" w:rsidRDefault="00F83447">
      <w:pPr>
        <w:spacing w:after="0"/>
      </w:pPr>
    </w:p>
    <w:p w:rsidR="00F83447" w:rsidRDefault="0028555D" w:rsidP="001F2A9B">
      <w:pPr>
        <w:jc w:val="both"/>
      </w:pPr>
      <w:r>
        <w:t>U promatranom razdoblju evidentirano je smanjenje prihoda u iznosu od 83.078,28 eura, odnosno 93,80 % u odnosu na isto razdoblje prethodne godine. Najveći utjecaj na smanjenje odnosi se na sredstva Ministarstva zdravstva za sanaciju obveza prema dobavljačima lijekova i potrošnog medicinskog materijala, koja su u prethodnoj godini ostvarena u iznosu od 85.646,00 eura. U poslovnoj 2026. godini nije bilo dodjele niti ostvarivanja sredstava za navedenu namjenu.</w:t>
      </w:r>
    </w:p>
    <w:p w:rsidR="00F83447" w:rsidRDefault="0028555D" w:rsidP="001F2A9B">
      <w:pPr>
        <w:jc w:val="both"/>
      </w:pPr>
      <w:r>
        <w:t>U tekućoj poslovnoj godini ostvarena su sredstva Ministarstva zdravstva za financiranje dežurstva liječnice na specijalizaciji u iznosu od 4.498,23 eura te sredstva Ministarstva hrvatskih branitelja u iznosu od 975,52 eura na ime tekućih pomoći.</w:t>
      </w:r>
    </w:p>
    <w:p w:rsidR="00F83447" w:rsidRDefault="00F83447"/>
    <w:p w:rsidR="00F83447" w:rsidRDefault="0028555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638</w:t>
            </w:r>
          </w:p>
        </w:tc>
        <w:tc>
          <w:tcPr>
            <w:tcW w:w="3180" w:type="dxa"/>
            <w:tcMar>
              <w:top w:w="0" w:type="dxa"/>
              <w:bottom w:w="0" w:type="dxa"/>
            </w:tcMar>
            <w:vAlign w:val="center"/>
          </w:tcPr>
          <w:p w:rsidR="00F83447" w:rsidRDefault="0028555D">
            <w:pPr>
              <w:keepNext/>
              <w:keepLines/>
              <w:spacing w:after="0" w:line="240" w:lineRule="auto"/>
            </w:pPr>
            <w:r>
              <w:rPr>
                <w:sz w:val="18"/>
              </w:rPr>
              <w:t>Pomoći temeljem prijenosa EU sredstava (šifre 6381+6382)</w:t>
            </w:r>
          </w:p>
        </w:tc>
        <w:tc>
          <w:tcPr>
            <w:tcW w:w="700" w:type="dxa"/>
            <w:tcMar>
              <w:top w:w="0" w:type="dxa"/>
              <w:bottom w:w="0" w:type="dxa"/>
            </w:tcMar>
            <w:vAlign w:val="center"/>
          </w:tcPr>
          <w:p w:rsidR="00F83447" w:rsidRDefault="0028555D">
            <w:pPr>
              <w:keepNext/>
              <w:keepLines/>
              <w:spacing w:after="0" w:line="240" w:lineRule="auto"/>
            </w:pPr>
            <w:r>
              <w:rPr>
                <w:sz w:val="18"/>
              </w:rPr>
              <w:t>638</w:t>
            </w:r>
          </w:p>
        </w:tc>
        <w:tc>
          <w:tcPr>
            <w:tcW w:w="1860" w:type="dxa"/>
            <w:tcMar>
              <w:top w:w="0" w:type="dxa"/>
              <w:bottom w:w="0" w:type="dxa"/>
            </w:tcMar>
            <w:vAlign w:val="center"/>
          </w:tcPr>
          <w:p w:rsidR="00F83447" w:rsidRDefault="0028555D">
            <w:pPr>
              <w:keepNext/>
              <w:keepLines/>
              <w:spacing w:after="0" w:line="240" w:lineRule="auto"/>
              <w:jc w:val="right"/>
            </w:pPr>
            <w:r>
              <w:rPr>
                <w:sz w:val="18"/>
              </w:rPr>
              <w:t>2.344.280,15</w:t>
            </w:r>
          </w:p>
        </w:tc>
        <w:tc>
          <w:tcPr>
            <w:tcW w:w="1860" w:type="dxa"/>
            <w:tcMar>
              <w:top w:w="0" w:type="dxa"/>
              <w:bottom w:w="0" w:type="dxa"/>
            </w:tcMar>
            <w:vAlign w:val="center"/>
          </w:tcPr>
          <w:p w:rsidR="00F83447" w:rsidRDefault="0028555D">
            <w:pPr>
              <w:keepNext/>
              <w:keepLines/>
              <w:spacing w:after="0" w:line="240" w:lineRule="auto"/>
              <w:jc w:val="right"/>
            </w:pPr>
            <w:r>
              <w:rPr>
                <w:sz w:val="18"/>
              </w:rPr>
              <w:t>5.929.511,36</w:t>
            </w:r>
          </w:p>
        </w:tc>
        <w:tc>
          <w:tcPr>
            <w:tcW w:w="700" w:type="dxa"/>
            <w:tcMar>
              <w:top w:w="0" w:type="dxa"/>
              <w:bottom w:w="0" w:type="dxa"/>
            </w:tcMar>
            <w:vAlign w:val="center"/>
          </w:tcPr>
          <w:p w:rsidR="00F83447" w:rsidRDefault="0028555D">
            <w:pPr>
              <w:keepNext/>
              <w:keepLines/>
              <w:spacing w:after="0" w:line="240" w:lineRule="auto"/>
              <w:jc w:val="right"/>
            </w:pPr>
            <w:r>
              <w:rPr>
                <w:sz w:val="18"/>
              </w:rPr>
              <w:t>252,9</w:t>
            </w:r>
          </w:p>
        </w:tc>
      </w:tr>
    </w:tbl>
    <w:p w:rsidR="00F83447" w:rsidRDefault="00F83447">
      <w:pPr>
        <w:spacing w:after="0"/>
      </w:pPr>
    </w:p>
    <w:p w:rsidR="00F83447" w:rsidRDefault="0028555D" w:rsidP="00EE6A0C">
      <w:pPr>
        <w:jc w:val="both"/>
      </w:pPr>
      <w:r>
        <w:lastRenderedPageBreak/>
        <w:t>Evidentirano povećanje za 152,90% ili za 3.585.231,21 eura u odnosu na prethodnu godinu.  Unutar ove skupine evidentiraju se prihodi za sufinanciranje plaća pripravnika medicinske struke financirani iz EU sredstava i prihodi iz EU sredstava za financiranje projekta "Unapređenje kvalitete smještaja i sadržaja hotela Minerva".</w:t>
      </w:r>
    </w:p>
    <w:p w:rsidR="00F83447" w:rsidRDefault="00F83447"/>
    <w:p w:rsidR="00F83447" w:rsidRDefault="0028555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6381</w:t>
            </w:r>
          </w:p>
        </w:tc>
        <w:tc>
          <w:tcPr>
            <w:tcW w:w="3180" w:type="dxa"/>
            <w:tcMar>
              <w:top w:w="0" w:type="dxa"/>
              <w:bottom w:w="0" w:type="dxa"/>
            </w:tcMar>
            <w:vAlign w:val="center"/>
          </w:tcPr>
          <w:p w:rsidR="00F83447" w:rsidRDefault="0028555D">
            <w:pPr>
              <w:keepNext/>
              <w:keepLines/>
              <w:spacing w:after="0" w:line="240" w:lineRule="auto"/>
            </w:pPr>
            <w:r>
              <w:rPr>
                <w:sz w:val="18"/>
              </w:rPr>
              <w:t>Tekuće pomoći temeljem prijenosa EU sredstava</w:t>
            </w:r>
          </w:p>
        </w:tc>
        <w:tc>
          <w:tcPr>
            <w:tcW w:w="700" w:type="dxa"/>
            <w:tcMar>
              <w:top w:w="0" w:type="dxa"/>
              <w:bottom w:w="0" w:type="dxa"/>
            </w:tcMar>
            <w:vAlign w:val="center"/>
          </w:tcPr>
          <w:p w:rsidR="00F83447" w:rsidRDefault="0028555D">
            <w:pPr>
              <w:keepNext/>
              <w:keepLines/>
              <w:spacing w:after="0" w:line="240" w:lineRule="auto"/>
            </w:pPr>
            <w:r>
              <w:rPr>
                <w:sz w:val="18"/>
              </w:rPr>
              <w:t>6381</w:t>
            </w:r>
          </w:p>
        </w:tc>
        <w:tc>
          <w:tcPr>
            <w:tcW w:w="1860" w:type="dxa"/>
            <w:tcMar>
              <w:top w:w="0" w:type="dxa"/>
              <w:bottom w:w="0" w:type="dxa"/>
            </w:tcMar>
            <w:vAlign w:val="center"/>
          </w:tcPr>
          <w:p w:rsidR="00F83447" w:rsidRDefault="0028555D">
            <w:pPr>
              <w:keepNext/>
              <w:keepLines/>
              <w:spacing w:after="0" w:line="240" w:lineRule="auto"/>
              <w:jc w:val="right"/>
            </w:pPr>
            <w:r>
              <w:rPr>
                <w:sz w:val="18"/>
              </w:rPr>
              <w:t>86.308,66</w:t>
            </w:r>
          </w:p>
        </w:tc>
        <w:tc>
          <w:tcPr>
            <w:tcW w:w="1860" w:type="dxa"/>
            <w:tcMar>
              <w:top w:w="0" w:type="dxa"/>
              <w:bottom w:w="0" w:type="dxa"/>
            </w:tcMar>
            <w:vAlign w:val="center"/>
          </w:tcPr>
          <w:p w:rsidR="00F83447" w:rsidRDefault="0028555D">
            <w:pPr>
              <w:keepNext/>
              <w:keepLines/>
              <w:spacing w:after="0" w:line="240" w:lineRule="auto"/>
              <w:jc w:val="right"/>
            </w:pPr>
            <w:r>
              <w:rPr>
                <w:sz w:val="18"/>
              </w:rPr>
              <w:t>4.503,85</w:t>
            </w:r>
          </w:p>
        </w:tc>
        <w:tc>
          <w:tcPr>
            <w:tcW w:w="700" w:type="dxa"/>
            <w:tcMar>
              <w:top w:w="0" w:type="dxa"/>
              <w:bottom w:w="0" w:type="dxa"/>
            </w:tcMar>
            <w:vAlign w:val="center"/>
          </w:tcPr>
          <w:p w:rsidR="00F83447" w:rsidRDefault="0028555D">
            <w:pPr>
              <w:keepNext/>
              <w:keepLines/>
              <w:spacing w:after="0" w:line="240" w:lineRule="auto"/>
              <w:jc w:val="right"/>
            </w:pPr>
            <w:r>
              <w:rPr>
                <w:sz w:val="18"/>
              </w:rPr>
              <w:t>5,2</w:t>
            </w:r>
          </w:p>
        </w:tc>
      </w:tr>
    </w:tbl>
    <w:p w:rsidR="00F83447" w:rsidRDefault="00F83447">
      <w:pPr>
        <w:spacing w:after="0"/>
      </w:pPr>
    </w:p>
    <w:p w:rsidR="00F83447" w:rsidRDefault="0028555D" w:rsidP="00EE6A0C">
      <w:pPr>
        <w:jc w:val="both"/>
      </w:pPr>
      <w:r>
        <w:t xml:space="preserve">U promatranom razdoblju evidentirano je smanjenje prihoda u iznosu od 81.804,81 eura, odnosno 94,80 % u odnosu na isto razdoblje prethodne godine. Smanjenje se odnosi na sredstva za financiranje plaća pripravnika medicinske struke. Tijekom poslovne 2025. godine većina pripravnika završila je pripravnički staž, dok je u poslovnoj 2026. godini preostala jedna djelatnica koja zbog korištenja </w:t>
      </w:r>
      <w:proofErr w:type="spellStart"/>
      <w:r>
        <w:t>rodiljnog</w:t>
      </w:r>
      <w:proofErr w:type="spellEnd"/>
      <w:r>
        <w:t xml:space="preserve"> dopusta nije završila pripravnički staž u prethodnoj godini. Tijekom drugog kvartala poslovne 2026. godine djelatnica je završila pripravnički staž te su u cijelosti iskorištena preostala osigurana sredstva za financiranje plaće pripravnika, čime je prestala osnova za daljnje ostvarivanje prihoda po toj namjeni.</w:t>
      </w:r>
    </w:p>
    <w:p w:rsidR="00F83447" w:rsidRDefault="00F83447"/>
    <w:p w:rsidR="00F83447" w:rsidRDefault="0028555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6382</w:t>
            </w:r>
          </w:p>
        </w:tc>
        <w:tc>
          <w:tcPr>
            <w:tcW w:w="3180" w:type="dxa"/>
            <w:tcMar>
              <w:top w:w="0" w:type="dxa"/>
              <w:bottom w:w="0" w:type="dxa"/>
            </w:tcMar>
            <w:vAlign w:val="center"/>
          </w:tcPr>
          <w:p w:rsidR="00F83447" w:rsidRDefault="0028555D">
            <w:pPr>
              <w:keepNext/>
              <w:keepLines/>
              <w:spacing w:after="0" w:line="240" w:lineRule="auto"/>
            </w:pPr>
            <w:r>
              <w:rPr>
                <w:sz w:val="18"/>
              </w:rPr>
              <w:t>Kapitalne pomoći temeljem prijenosa EU sredstava</w:t>
            </w:r>
          </w:p>
        </w:tc>
        <w:tc>
          <w:tcPr>
            <w:tcW w:w="700" w:type="dxa"/>
            <w:tcMar>
              <w:top w:w="0" w:type="dxa"/>
              <w:bottom w:w="0" w:type="dxa"/>
            </w:tcMar>
            <w:vAlign w:val="center"/>
          </w:tcPr>
          <w:p w:rsidR="00F83447" w:rsidRDefault="0028555D">
            <w:pPr>
              <w:keepNext/>
              <w:keepLines/>
              <w:spacing w:after="0" w:line="240" w:lineRule="auto"/>
            </w:pPr>
            <w:r>
              <w:rPr>
                <w:sz w:val="18"/>
              </w:rPr>
              <w:t>6382</w:t>
            </w:r>
          </w:p>
        </w:tc>
        <w:tc>
          <w:tcPr>
            <w:tcW w:w="1860" w:type="dxa"/>
            <w:tcMar>
              <w:top w:w="0" w:type="dxa"/>
              <w:bottom w:w="0" w:type="dxa"/>
            </w:tcMar>
            <w:vAlign w:val="center"/>
          </w:tcPr>
          <w:p w:rsidR="00F83447" w:rsidRDefault="0028555D">
            <w:pPr>
              <w:keepNext/>
              <w:keepLines/>
              <w:spacing w:after="0" w:line="240" w:lineRule="auto"/>
              <w:jc w:val="right"/>
            </w:pPr>
            <w:r>
              <w:rPr>
                <w:sz w:val="18"/>
              </w:rPr>
              <w:t>2.257.971,49</w:t>
            </w:r>
          </w:p>
        </w:tc>
        <w:tc>
          <w:tcPr>
            <w:tcW w:w="1860" w:type="dxa"/>
            <w:tcMar>
              <w:top w:w="0" w:type="dxa"/>
              <w:bottom w:w="0" w:type="dxa"/>
            </w:tcMar>
            <w:vAlign w:val="center"/>
          </w:tcPr>
          <w:p w:rsidR="00F83447" w:rsidRDefault="0028555D">
            <w:pPr>
              <w:keepNext/>
              <w:keepLines/>
              <w:spacing w:after="0" w:line="240" w:lineRule="auto"/>
              <w:jc w:val="right"/>
            </w:pPr>
            <w:r>
              <w:rPr>
                <w:sz w:val="18"/>
              </w:rPr>
              <w:t>5.925.007,51</w:t>
            </w:r>
          </w:p>
        </w:tc>
        <w:tc>
          <w:tcPr>
            <w:tcW w:w="700" w:type="dxa"/>
            <w:tcMar>
              <w:top w:w="0" w:type="dxa"/>
              <w:bottom w:w="0" w:type="dxa"/>
            </w:tcMar>
            <w:vAlign w:val="center"/>
          </w:tcPr>
          <w:p w:rsidR="00F83447" w:rsidRDefault="0028555D">
            <w:pPr>
              <w:keepNext/>
              <w:keepLines/>
              <w:spacing w:after="0" w:line="240" w:lineRule="auto"/>
              <w:jc w:val="right"/>
            </w:pPr>
            <w:r>
              <w:rPr>
                <w:sz w:val="18"/>
              </w:rPr>
              <w:t>262,4</w:t>
            </w:r>
          </w:p>
        </w:tc>
      </w:tr>
    </w:tbl>
    <w:p w:rsidR="00F83447" w:rsidRDefault="00F83447">
      <w:pPr>
        <w:spacing w:after="0"/>
      </w:pPr>
    </w:p>
    <w:p w:rsidR="00F83447" w:rsidRDefault="0028555D" w:rsidP="00EE6A0C">
      <w:pPr>
        <w:jc w:val="both"/>
      </w:pPr>
      <w:r>
        <w:t>U promatranom razdoblju evidentirano je povećanje prihoda u iznosu od 3.667.036,02 eura, odnosno 162,40 % u odnosu na isto razdoblje prethodne godine. Navedeno povećanje najvećim dijelom proizlazi iz intenziviranja provedbe projekta „Unapređenje kvalitete smještaja i sadržaja hotela Minerva“. Projekt je započeo u siječnju 2025. godine, kada su zbog početne faze realizacije evidentirane prve privremene situacije manjeg financijskog opsega. Tijekom poslovne 2026. godine projekt ulazi u završnu fazu provedbe, što je rezultiralo većim stupnjem realizacije ugovorenih radova i posljedično značajnijim priljevom sredstava iz navedenog izvora u odnosu na prethodno izvještajno razdoblje.</w:t>
      </w:r>
    </w:p>
    <w:p w:rsidR="00F83447" w:rsidRDefault="00F83447"/>
    <w:p w:rsidR="00F83447" w:rsidRDefault="0028555D">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64</w:t>
            </w:r>
          </w:p>
        </w:tc>
        <w:tc>
          <w:tcPr>
            <w:tcW w:w="3180" w:type="dxa"/>
            <w:tcMar>
              <w:top w:w="0" w:type="dxa"/>
              <w:bottom w:w="0" w:type="dxa"/>
            </w:tcMar>
            <w:vAlign w:val="center"/>
          </w:tcPr>
          <w:p w:rsidR="00F83447" w:rsidRDefault="0028555D">
            <w:pPr>
              <w:keepNext/>
              <w:keepLines/>
              <w:spacing w:after="0" w:line="240" w:lineRule="auto"/>
            </w:pPr>
            <w:r>
              <w:rPr>
                <w:sz w:val="18"/>
              </w:rPr>
              <w:t>Prihodi od imovine (šifre 641+642+643)</w:t>
            </w:r>
          </w:p>
        </w:tc>
        <w:tc>
          <w:tcPr>
            <w:tcW w:w="700" w:type="dxa"/>
            <w:tcMar>
              <w:top w:w="0" w:type="dxa"/>
              <w:bottom w:w="0" w:type="dxa"/>
            </w:tcMar>
            <w:vAlign w:val="center"/>
          </w:tcPr>
          <w:p w:rsidR="00F83447" w:rsidRDefault="0028555D">
            <w:pPr>
              <w:keepNext/>
              <w:keepLines/>
              <w:spacing w:after="0" w:line="240" w:lineRule="auto"/>
            </w:pPr>
            <w:r>
              <w:rPr>
                <w:sz w:val="18"/>
              </w:rPr>
              <w:t>64</w:t>
            </w:r>
          </w:p>
        </w:tc>
        <w:tc>
          <w:tcPr>
            <w:tcW w:w="1860" w:type="dxa"/>
            <w:tcMar>
              <w:top w:w="0" w:type="dxa"/>
              <w:bottom w:w="0" w:type="dxa"/>
            </w:tcMar>
            <w:vAlign w:val="center"/>
          </w:tcPr>
          <w:p w:rsidR="00F83447" w:rsidRDefault="0028555D">
            <w:pPr>
              <w:keepNext/>
              <w:keepLines/>
              <w:spacing w:after="0" w:line="240" w:lineRule="auto"/>
              <w:jc w:val="right"/>
            </w:pPr>
            <w:r>
              <w:rPr>
                <w:sz w:val="18"/>
              </w:rPr>
              <w:t>2.704,97</w:t>
            </w:r>
          </w:p>
        </w:tc>
        <w:tc>
          <w:tcPr>
            <w:tcW w:w="1860" w:type="dxa"/>
            <w:tcMar>
              <w:top w:w="0" w:type="dxa"/>
              <w:bottom w:w="0" w:type="dxa"/>
            </w:tcMar>
            <w:vAlign w:val="center"/>
          </w:tcPr>
          <w:p w:rsidR="00F83447" w:rsidRDefault="0028555D">
            <w:pPr>
              <w:keepNext/>
              <w:keepLines/>
              <w:spacing w:after="0" w:line="240" w:lineRule="auto"/>
              <w:jc w:val="right"/>
            </w:pPr>
            <w:r>
              <w:rPr>
                <w:sz w:val="18"/>
              </w:rPr>
              <w:t>2.440,94</w:t>
            </w:r>
          </w:p>
        </w:tc>
        <w:tc>
          <w:tcPr>
            <w:tcW w:w="700" w:type="dxa"/>
            <w:tcMar>
              <w:top w:w="0" w:type="dxa"/>
              <w:bottom w:w="0" w:type="dxa"/>
            </w:tcMar>
            <w:vAlign w:val="center"/>
          </w:tcPr>
          <w:p w:rsidR="00F83447" w:rsidRDefault="0028555D">
            <w:pPr>
              <w:keepNext/>
              <w:keepLines/>
              <w:spacing w:after="0" w:line="240" w:lineRule="auto"/>
              <w:jc w:val="right"/>
            </w:pPr>
            <w:r>
              <w:rPr>
                <w:sz w:val="18"/>
              </w:rPr>
              <w:t>90,2</w:t>
            </w:r>
          </w:p>
        </w:tc>
      </w:tr>
    </w:tbl>
    <w:p w:rsidR="00F83447" w:rsidRDefault="00F83447">
      <w:pPr>
        <w:spacing w:after="0"/>
      </w:pPr>
    </w:p>
    <w:p w:rsidR="00F83447" w:rsidRDefault="0028555D" w:rsidP="00EE6A0C">
      <w:pPr>
        <w:jc w:val="both"/>
      </w:pPr>
      <w:r>
        <w:lastRenderedPageBreak/>
        <w:t>U promatranom razdoblju ostvareni su prihodi u iznosu od 2.440,94 eura, što predstavlja smanjenje od 9,80 %, odnosno za 264,03 eura u odnosu na isto razdoblje prethodne godine. Smanjenje se najvećim dijelom odnosi na manje ostvarene prihode od kamata po sredstvima na poslovnom računu. Nadalje, u poslovnoj 2025. godini evidentirani su prihodi od zateznih kamata temeljem sudskih sporova, dok u poslovnoj 2026. godini navedeni prihodi nisu ostvareni zbog proglašenja stečaja nad potrošačem, čime je izostala mogućnost naplate predmetnih potraživanja.</w:t>
      </w:r>
    </w:p>
    <w:p w:rsidR="00F83447" w:rsidRDefault="00F83447"/>
    <w:p w:rsidR="00F83447" w:rsidRDefault="0028555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6413</w:t>
            </w:r>
          </w:p>
        </w:tc>
        <w:tc>
          <w:tcPr>
            <w:tcW w:w="3180" w:type="dxa"/>
            <w:tcMar>
              <w:top w:w="0" w:type="dxa"/>
              <w:bottom w:w="0" w:type="dxa"/>
            </w:tcMar>
            <w:vAlign w:val="center"/>
          </w:tcPr>
          <w:p w:rsidR="00F83447" w:rsidRDefault="0028555D">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F83447" w:rsidRDefault="0028555D">
            <w:pPr>
              <w:keepNext/>
              <w:keepLines/>
              <w:spacing w:after="0" w:line="240" w:lineRule="auto"/>
            </w:pPr>
            <w:r>
              <w:rPr>
                <w:sz w:val="18"/>
              </w:rPr>
              <w:t>6413</w:t>
            </w:r>
          </w:p>
        </w:tc>
        <w:tc>
          <w:tcPr>
            <w:tcW w:w="1860" w:type="dxa"/>
            <w:tcMar>
              <w:top w:w="0" w:type="dxa"/>
              <w:bottom w:w="0" w:type="dxa"/>
            </w:tcMar>
            <w:vAlign w:val="center"/>
          </w:tcPr>
          <w:p w:rsidR="00F83447" w:rsidRDefault="0028555D">
            <w:pPr>
              <w:keepNext/>
              <w:keepLines/>
              <w:spacing w:after="0" w:line="240" w:lineRule="auto"/>
              <w:jc w:val="right"/>
            </w:pPr>
            <w:r>
              <w:rPr>
                <w:sz w:val="18"/>
              </w:rPr>
              <w:t>2.024,27</w:t>
            </w:r>
          </w:p>
        </w:tc>
        <w:tc>
          <w:tcPr>
            <w:tcW w:w="1860" w:type="dxa"/>
            <w:tcMar>
              <w:top w:w="0" w:type="dxa"/>
              <w:bottom w:w="0" w:type="dxa"/>
            </w:tcMar>
            <w:vAlign w:val="center"/>
          </w:tcPr>
          <w:p w:rsidR="00F83447" w:rsidRDefault="0028555D">
            <w:pPr>
              <w:keepNext/>
              <w:keepLines/>
              <w:spacing w:after="0" w:line="240" w:lineRule="auto"/>
              <w:jc w:val="right"/>
            </w:pPr>
            <w:r>
              <w:rPr>
                <w:sz w:val="18"/>
              </w:rPr>
              <w:t>1.951,61</w:t>
            </w:r>
          </w:p>
        </w:tc>
        <w:tc>
          <w:tcPr>
            <w:tcW w:w="700" w:type="dxa"/>
            <w:tcMar>
              <w:top w:w="0" w:type="dxa"/>
              <w:bottom w:w="0" w:type="dxa"/>
            </w:tcMar>
            <w:vAlign w:val="center"/>
          </w:tcPr>
          <w:p w:rsidR="00F83447" w:rsidRDefault="0028555D">
            <w:pPr>
              <w:keepNext/>
              <w:keepLines/>
              <w:spacing w:after="0" w:line="240" w:lineRule="auto"/>
              <w:jc w:val="right"/>
            </w:pPr>
            <w:r>
              <w:rPr>
                <w:sz w:val="18"/>
              </w:rPr>
              <w:t>96,4</w:t>
            </w:r>
          </w:p>
        </w:tc>
      </w:tr>
    </w:tbl>
    <w:p w:rsidR="00F83447" w:rsidRDefault="00F83447">
      <w:pPr>
        <w:spacing w:after="0"/>
      </w:pPr>
    </w:p>
    <w:p w:rsidR="00F83447" w:rsidRDefault="0028555D" w:rsidP="00EE6A0C">
      <w:pPr>
        <w:jc w:val="both"/>
      </w:pPr>
      <w:r>
        <w:t xml:space="preserve">Naplaćen je manji iznos na ime kamata po žiro računima za 3,60% ili za 72,66 eura (Bolnica koristi odobreni Cash </w:t>
      </w:r>
      <w:proofErr w:type="spellStart"/>
      <w:r>
        <w:t>pool</w:t>
      </w:r>
      <w:proofErr w:type="spellEnd"/>
      <w:r>
        <w:t xml:space="preserve"> u većem iznosu nego prethodne godine).</w:t>
      </w:r>
    </w:p>
    <w:p w:rsidR="00F83447" w:rsidRDefault="00F83447"/>
    <w:p w:rsidR="00F83447" w:rsidRDefault="0028555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6414</w:t>
            </w:r>
          </w:p>
        </w:tc>
        <w:tc>
          <w:tcPr>
            <w:tcW w:w="3180" w:type="dxa"/>
            <w:tcMar>
              <w:top w:w="0" w:type="dxa"/>
              <w:bottom w:w="0" w:type="dxa"/>
            </w:tcMar>
            <w:vAlign w:val="center"/>
          </w:tcPr>
          <w:p w:rsidR="00F83447" w:rsidRDefault="0028555D">
            <w:pPr>
              <w:keepNext/>
              <w:keepLines/>
              <w:spacing w:after="0" w:line="240" w:lineRule="auto"/>
            </w:pPr>
            <w:r>
              <w:rPr>
                <w:sz w:val="18"/>
              </w:rPr>
              <w:t>Prihodi od zateznih kamata</w:t>
            </w:r>
          </w:p>
        </w:tc>
        <w:tc>
          <w:tcPr>
            <w:tcW w:w="700" w:type="dxa"/>
            <w:tcMar>
              <w:top w:w="0" w:type="dxa"/>
              <w:bottom w:w="0" w:type="dxa"/>
            </w:tcMar>
            <w:vAlign w:val="center"/>
          </w:tcPr>
          <w:p w:rsidR="00F83447" w:rsidRDefault="0028555D">
            <w:pPr>
              <w:keepNext/>
              <w:keepLines/>
              <w:spacing w:after="0" w:line="240" w:lineRule="auto"/>
            </w:pPr>
            <w:r>
              <w:rPr>
                <w:sz w:val="18"/>
              </w:rPr>
              <w:t>6414</w:t>
            </w:r>
          </w:p>
        </w:tc>
        <w:tc>
          <w:tcPr>
            <w:tcW w:w="1860" w:type="dxa"/>
            <w:tcMar>
              <w:top w:w="0" w:type="dxa"/>
              <w:bottom w:w="0" w:type="dxa"/>
            </w:tcMar>
            <w:vAlign w:val="center"/>
          </w:tcPr>
          <w:p w:rsidR="00F83447" w:rsidRDefault="0028555D">
            <w:pPr>
              <w:keepNext/>
              <w:keepLines/>
              <w:spacing w:after="0" w:line="240" w:lineRule="auto"/>
              <w:jc w:val="right"/>
            </w:pPr>
            <w:r>
              <w:rPr>
                <w:sz w:val="18"/>
              </w:rPr>
              <w:t>97,48</w:t>
            </w:r>
          </w:p>
        </w:tc>
        <w:tc>
          <w:tcPr>
            <w:tcW w:w="1860" w:type="dxa"/>
            <w:tcMar>
              <w:top w:w="0" w:type="dxa"/>
              <w:bottom w:w="0" w:type="dxa"/>
            </w:tcMar>
            <w:vAlign w:val="center"/>
          </w:tcPr>
          <w:p w:rsidR="00F83447" w:rsidRDefault="0028555D">
            <w:pPr>
              <w:keepNext/>
              <w:keepLines/>
              <w:spacing w:after="0" w:line="240" w:lineRule="auto"/>
              <w:jc w:val="right"/>
            </w:pPr>
            <w:r>
              <w:rPr>
                <w:sz w:val="18"/>
              </w:rPr>
              <w:t>9,07</w:t>
            </w:r>
          </w:p>
        </w:tc>
        <w:tc>
          <w:tcPr>
            <w:tcW w:w="700" w:type="dxa"/>
            <w:tcMar>
              <w:top w:w="0" w:type="dxa"/>
              <w:bottom w:w="0" w:type="dxa"/>
            </w:tcMar>
            <w:vAlign w:val="center"/>
          </w:tcPr>
          <w:p w:rsidR="00F83447" w:rsidRDefault="0028555D">
            <w:pPr>
              <w:keepNext/>
              <w:keepLines/>
              <w:spacing w:after="0" w:line="240" w:lineRule="auto"/>
              <w:jc w:val="right"/>
            </w:pPr>
            <w:r>
              <w:rPr>
                <w:sz w:val="18"/>
              </w:rPr>
              <w:t>9,3</w:t>
            </w:r>
          </w:p>
        </w:tc>
      </w:tr>
    </w:tbl>
    <w:p w:rsidR="00F83447" w:rsidRDefault="00F83447">
      <w:pPr>
        <w:spacing w:after="0"/>
      </w:pPr>
    </w:p>
    <w:p w:rsidR="00F83447" w:rsidRDefault="0028555D" w:rsidP="00EE6A0C">
      <w:pPr>
        <w:jc w:val="both"/>
      </w:pPr>
      <w:r>
        <w:t>Evidentirano manje naplaćenih prihoda na ime kamata po sudskim sporovima za 90,70% ili za 88,41 eura. </w:t>
      </w:r>
    </w:p>
    <w:p w:rsidR="00F83447" w:rsidRDefault="00F83447"/>
    <w:p w:rsidR="00F83447" w:rsidRDefault="0028555D">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6416</w:t>
            </w:r>
          </w:p>
        </w:tc>
        <w:tc>
          <w:tcPr>
            <w:tcW w:w="3180" w:type="dxa"/>
            <w:tcMar>
              <w:top w:w="0" w:type="dxa"/>
              <w:bottom w:w="0" w:type="dxa"/>
            </w:tcMar>
            <w:vAlign w:val="center"/>
          </w:tcPr>
          <w:p w:rsidR="00F83447" w:rsidRDefault="0028555D">
            <w:pPr>
              <w:keepNext/>
              <w:keepLines/>
              <w:spacing w:after="0" w:line="240" w:lineRule="auto"/>
            </w:pPr>
            <w:r>
              <w:rPr>
                <w:sz w:val="18"/>
              </w:rPr>
              <w:t>Prihodi od dividendi</w:t>
            </w:r>
          </w:p>
        </w:tc>
        <w:tc>
          <w:tcPr>
            <w:tcW w:w="700" w:type="dxa"/>
            <w:tcMar>
              <w:top w:w="0" w:type="dxa"/>
              <w:bottom w:w="0" w:type="dxa"/>
            </w:tcMar>
            <w:vAlign w:val="center"/>
          </w:tcPr>
          <w:p w:rsidR="00F83447" w:rsidRDefault="0028555D">
            <w:pPr>
              <w:keepNext/>
              <w:keepLines/>
              <w:spacing w:after="0" w:line="240" w:lineRule="auto"/>
            </w:pPr>
            <w:r>
              <w:rPr>
                <w:sz w:val="18"/>
              </w:rPr>
              <w:t>6416</w:t>
            </w:r>
          </w:p>
        </w:tc>
        <w:tc>
          <w:tcPr>
            <w:tcW w:w="1860" w:type="dxa"/>
            <w:tcMar>
              <w:top w:w="0" w:type="dxa"/>
              <w:bottom w:w="0" w:type="dxa"/>
            </w:tcMar>
            <w:vAlign w:val="center"/>
          </w:tcPr>
          <w:p w:rsidR="00F83447" w:rsidRDefault="0028555D">
            <w:pPr>
              <w:keepNext/>
              <w:keepLines/>
              <w:spacing w:after="0" w:line="240" w:lineRule="auto"/>
              <w:jc w:val="right"/>
            </w:pPr>
            <w:r>
              <w:rPr>
                <w:sz w:val="18"/>
              </w:rPr>
              <w:t>583,22</w:t>
            </w:r>
          </w:p>
        </w:tc>
        <w:tc>
          <w:tcPr>
            <w:tcW w:w="1860" w:type="dxa"/>
            <w:tcMar>
              <w:top w:w="0" w:type="dxa"/>
              <w:bottom w:w="0" w:type="dxa"/>
            </w:tcMar>
            <w:vAlign w:val="center"/>
          </w:tcPr>
          <w:p w:rsidR="00F83447" w:rsidRDefault="0028555D">
            <w:pPr>
              <w:keepNext/>
              <w:keepLines/>
              <w:spacing w:after="0" w:line="240" w:lineRule="auto"/>
              <w:jc w:val="right"/>
            </w:pPr>
            <w:r>
              <w:rPr>
                <w:sz w:val="18"/>
              </w:rPr>
              <w:t>480,26</w:t>
            </w:r>
          </w:p>
        </w:tc>
        <w:tc>
          <w:tcPr>
            <w:tcW w:w="700" w:type="dxa"/>
            <w:tcMar>
              <w:top w:w="0" w:type="dxa"/>
              <w:bottom w:w="0" w:type="dxa"/>
            </w:tcMar>
            <w:vAlign w:val="center"/>
          </w:tcPr>
          <w:p w:rsidR="00F83447" w:rsidRDefault="0028555D">
            <w:pPr>
              <w:keepNext/>
              <w:keepLines/>
              <w:spacing w:after="0" w:line="240" w:lineRule="auto"/>
              <w:jc w:val="right"/>
            </w:pPr>
            <w:r>
              <w:rPr>
                <w:sz w:val="18"/>
              </w:rPr>
              <w:t>82,3</w:t>
            </w:r>
          </w:p>
        </w:tc>
      </w:tr>
    </w:tbl>
    <w:p w:rsidR="00F83447" w:rsidRDefault="00F83447">
      <w:pPr>
        <w:spacing w:after="0"/>
      </w:pPr>
    </w:p>
    <w:p w:rsidR="00F83447" w:rsidRDefault="0028555D" w:rsidP="00EE6A0C">
      <w:pPr>
        <w:jc w:val="both"/>
      </w:pPr>
      <w:r>
        <w:t>U promatranom razdoblju evidentirano je smanjenje prihoda od dividendi za 17,70 %, odnosno za 102,96 eura u odnosu na isto razdoblje prethodne godine. Navedeno smanjenje rezultat je manje isplaćenog iznosa dividende u odnosu na prethodno izvještajno razdoblje.</w:t>
      </w:r>
    </w:p>
    <w:p w:rsidR="00F83447" w:rsidRDefault="00F83447"/>
    <w:p w:rsidR="00F83447" w:rsidRDefault="0028555D">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65</w:t>
            </w:r>
          </w:p>
        </w:tc>
        <w:tc>
          <w:tcPr>
            <w:tcW w:w="3180" w:type="dxa"/>
            <w:tcMar>
              <w:top w:w="0" w:type="dxa"/>
              <w:bottom w:w="0" w:type="dxa"/>
            </w:tcMar>
            <w:vAlign w:val="center"/>
          </w:tcPr>
          <w:p w:rsidR="00F83447" w:rsidRDefault="0028555D">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rsidR="00F83447" w:rsidRDefault="0028555D">
            <w:pPr>
              <w:keepNext/>
              <w:keepLines/>
              <w:spacing w:after="0" w:line="240" w:lineRule="auto"/>
            </w:pPr>
            <w:r>
              <w:rPr>
                <w:sz w:val="18"/>
              </w:rPr>
              <w:t>65</w:t>
            </w:r>
          </w:p>
        </w:tc>
        <w:tc>
          <w:tcPr>
            <w:tcW w:w="1860" w:type="dxa"/>
            <w:tcMar>
              <w:top w:w="0" w:type="dxa"/>
              <w:bottom w:w="0" w:type="dxa"/>
            </w:tcMar>
            <w:vAlign w:val="center"/>
          </w:tcPr>
          <w:p w:rsidR="00F83447" w:rsidRDefault="0028555D">
            <w:pPr>
              <w:keepNext/>
              <w:keepLines/>
              <w:spacing w:after="0" w:line="240" w:lineRule="auto"/>
              <w:jc w:val="right"/>
            </w:pPr>
            <w:r>
              <w:rPr>
                <w:sz w:val="18"/>
              </w:rPr>
              <w:t>1.456.529,46</w:t>
            </w:r>
          </w:p>
        </w:tc>
        <w:tc>
          <w:tcPr>
            <w:tcW w:w="1860" w:type="dxa"/>
            <w:tcMar>
              <w:top w:w="0" w:type="dxa"/>
              <w:bottom w:w="0" w:type="dxa"/>
            </w:tcMar>
            <w:vAlign w:val="center"/>
          </w:tcPr>
          <w:p w:rsidR="00F83447" w:rsidRDefault="0028555D">
            <w:pPr>
              <w:keepNext/>
              <w:keepLines/>
              <w:spacing w:after="0" w:line="240" w:lineRule="auto"/>
              <w:jc w:val="right"/>
            </w:pPr>
            <w:r>
              <w:rPr>
                <w:sz w:val="18"/>
              </w:rPr>
              <w:t>1.505.593,01</w:t>
            </w:r>
          </w:p>
        </w:tc>
        <w:tc>
          <w:tcPr>
            <w:tcW w:w="700" w:type="dxa"/>
            <w:tcMar>
              <w:top w:w="0" w:type="dxa"/>
              <w:bottom w:w="0" w:type="dxa"/>
            </w:tcMar>
            <w:vAlign w:val="center"/>
          </w:tcPr>
          <w:p w:rsidR="00F83447" w:rsidRDefault="0028555D">
            <w:pPr>
              <w:keepNext/>
              <w:keepLines/>
              <w:spacing w:after="0" w:line="240" w:lineRule="auto"/>
              <w:jc w:val="right"/>
            </w:pPr>
            <w:r>
              <w:rPr>
                <w:sz w:val="18"/>
              </w:rPr>
              <w:t>103,4</w:t>
            </w:r>
          </w:p>
        </w:tc>
      </w:tr>
    </w:tbl>
    <w:p w:rsidR="00F83447" w:rsidRDefault="00F83447">
      <w:pPr>
        <w:spacing w:after="0"/>
      </w:pPr>
    </w:p>
    <w:p w:rsidR="00F83447" w:rsidRDefault="0028555D" w:rsidP="00EE6A0C">
      <w:pPr>
        <w:jc w:val="both"/>
      </w:pPr>
      <w:r>
        <w:t>Prihodi su ostvareni u iznosu od 1.505.593,01 eura te su veći za 3,40 %, odnosno za 49.063,55 eura u odnosu na isto razdoblje prethodne godine. Povećanje prihoda rezultat je većeg ostvarenja prihoda od dopunskog osiguranja, participacija i refundacija šteta. Navedeni rast povezan je i s boljom popunjenošću bolničkih kapaciteta u promatranom razdoblju, što je neposredno utjecalo na povećanje broja realiziranih usluga te posljedično i na ostvarenje prihoda iz navedenih izvora.</w:t>
      </w:r>
    </w:p>
    <w:p w:rsidR="00F83447" w:rsidRDefault="00F83447"/>
    <w:p w:rsidR="00F83447" w:rsidRDefault="0028555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66</w:t>
            </w:r>
          </w:p>
        </w:tc>
        <w:tc>
          <w:tcPr>
            <w:tcW w:w="3180" w:type="dxa"/>
            <w:tcMar>
              <w:top w:w="0" w:type="dxa"/>
              <w:bottom w:w="0" w:type="dxa"/>
            </w:tcMar>
            <w:vAlign w:val="center"/>
          </w:tcPr>
          <w:p w:rsidR="00F83447" w:rsidRDefault="0028555D">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rsidR="00F83447" w:rsidRDefault="0028555D">
            <w:pPr>
              <w:keepNext/>
              <w:keepLines/>
              <w:spacing w:after="0" w:line="240" w:lineRule="auto"/>
            </w:pPr>
            <w:r>
              <w:rPr>
                <w:sz w:val="18"/>
              </w:rPr>
              <w:t>66</w:t>
            </w:r>
          </w:p>
        </w:tc>
        <w:tc>
          <w:tcPr>
            <w:tcW w:w="1860" w:type="dxa"/>
            <w:tcMar>
              <w:top w:w="0" w:type="dxa"/>
              <w:bottom w:w="0" w:type="dxa"/>
            </w:tcMar>
            <w:vAlign w:val="center"/>
          </w:tcPr>
          <w:p w:rsidR="00F83447" w:rsidRDefault="0028555D">
            <w:pPr>
              <w:keepNext/>
              <w:keepLines/>
              <w:spacing w:after="0" w:line="240" w:lineRule="auto"/>
              <w:jc w:val="right"/>
            </w:pPr>
            <w:r>
              <w:rPr>
                <w:sz w:val="18"/>
              </w:rPr>
              <w:t>1.747.669,53</w:t>
            </w:r>
          </w:p>
        </w:tc>
        <w:tc>
          <w:tcPr>
            <w:tcW w:w="1860" w:type="dxa"/>
            <w:tcMar>
              <w:top w:w="0" w:type="dxa"/>
              <w:bottom w:w="0" w:type="dxa"/>
            </w:tcMar>
            <w:vAlign w:val="center"/>
          </w:tcPr>
          <w:p w:rsidR="00F83447" w:rsidRDefault="0028555D">
            <w:pPr>
              <w:keepNext/>
              <w:keepLines/>
              <w:spacing w:after="0" w:line="240" w:lineRule="auto"/>
              <w:jc w:val="right"/>
            </w:pPr>
            <w:r>
              <w:rPr>
                <w:sz w:val="18"/>
              </w:rPr>
              <w:t>1.754.168,20</w:t>
            </w:r>
          </w:p>
        </w:tc>
        <w:tc>
          <w:tcPr>
            <w:tcW w:w="700" w:type="dxa"/>
            <w:tcMar>
              <w:top w:w="0" w:type="dxa"/>
              <w:bottom w:w="0" w:type="dxa"/>
            </w:tcMar>
            <w:vAlign w:val="center"/>
          </w:tcPr>
          <w:p w:rsidR="00F83447" w:rsidRDefault="0028555D">
            <w:pPr>
              <w:keepNext/>
              <w:keepLines/>
              <w:spacing w:after="0" w:line="240" w:lineRule="auto"/>
              <w:jc w:val="right"/>
            </w:pPr>
            <w:r>
              <w:rPr>
                <w:sz w:val="18"/>
              </w:rPr>
              <w:t>100,4</w:t>
            </w:r>
          </w:p>
        </w:tc>
      </w:tr>
    </w:tbl>
    <w:p w:rsidR="00F83447" w:rsidRDefault="00F83447">
      <w:pPr>
        <w:spacing w:after="0"/>
      </w:pPr>
    </w:p>
    <w:p w:rsidR="00F83447" w:rsidRDefault="0028555D" w:rsidP="00EE6A0C">
      <w:pPr>
        <w:jc w:val="both"/>
      </w:pPr>
      <w:r>
        <w:t xml:space="preserve">Prihodi su ostvareni u iznosu od 1.754.168,20 eura te su veći za 0,40 %, odnosno za 6.498,67 eura u odnosu na isto razdoblje prethodne godine. Rast prihoda najvećim se dijelom odnosi na prihode od prodaje proizvoda i robe (ugostiteljstvo i trgovine), koji bilježe povećanje od 6,30 %. U prva tri mjeseca poslovne 2025. godine poslovale su dvije trgovine, i to u objektu Minerva i objektu Terme, dok je od travnja 2025. godine nastavila s radom isključivo trgovina u objektu Terme. Unatoč smanjenju broja prodajnih mjesta, prihodi od prodaje proizvoda i robe ostvareni su u većem iznosu, što se povezuje s većim brojem pacijenata slabije pokretljivosti koji, zbog ograničene mogućnosti kretanja izvan objekta smještaja, u većoj mjeri koriste usluge trgovine i ugostiteljstva unutar ustanove. Prihodi od pruženih usluga (pansion i doplate) bilježe blagi pad od 1,10 % u odnosu na isto razdoblje prethodne godine. Na navedeno smanjenje utjecala je promjena u korištenju raspoloživih smještajnih kapaciteta. Objekt Minerva je tijekom prva tri mjeseca 2025. godine poslovao u punom kapacitetu, nakon čega je zatvoren radi provedbe projekta „Unapređenje kvalitete smještaja i sadržaja hotela Minerva“. Dodatno, na ostvarenje prihoda utječe i smještaj raseljenih osoba iz područja Ukrajine u objektu </w:t>
      </w:r>
      <w:proofErr w:type="spellStart"/>
      <w:r>
        <w:t>Lovrina</w:t>
      </w:r>
      <w:proofErr w:type="spellEnd"/>
      <w:r>
        <w:t xml:space="preserve"> kupelj, pri čemu broj korisnika varira iz mjeseca u mjesec, što se odražava na dinamiku ostvarenja prihoda od pruženih usluga.</w:t>
      </w:r>
    </w:p>
    <w:p w:rsidR="00F83447" w:rsidRDefault="00F83447"/>
    <w:p w:rsidR="00F83447" w:rsidRDefault="0028555D">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661</w:t>
            </w:r>
          </w:p>
        </w:tc>
        <w:tc>
          <w:tcPr>
            <w:tcW w:w="3180" w:type="dxa"/>
            <w:tcMar>
              <w:top w:w="0" w:type="dxa"/>
              <w:bottom w:w="0" w:type="dxa"/>
            </w:tcMar>
            <w:vAlign w:val="center"/>
          </w:tcPr>
          <w:p w:rsidR="00F83447" w:rsidRDefault="0028555D">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F83447" w:rsidRDefault="0028555D">
            <w:pPr>
              <w:keepNext/>
              <w:keepLines/>
              <w:spacing w:after="0" w:line="240" w:lineRule="auto"/>
            </w:pPr>
            <w:r>
              <w:rPr>
                <w:sz w:val="18"/>
              </w:rPr>
              <w:t>661</w:t>
            </w:r>
          </w:p>
        </w:tc>
        <w:tc>
          <w:tcPr>
            <w:tcW w:w="1860" w:type="dxa"/>
            <w:tcMar>
              <w:top w:w="0" w:type="dxa"/>
              <w:bottom w:w="0" w:type="dxa"/>
            </w:tcMar>
            <w:vAlign w:val="center"/>
          </w:tcPr>
          <w:p w:rsidR="00F83447" w:rsidRDefault="0028555D">
            <w:pPr>
              <w:keepNext/>
              <w:keepLines/>
              <w:spacing w:after="0" w:line="240" w:lineRule="auto"/>
              <w:jc w:val="right"/>
            </w:pPr>
            <w:r>
              <w:rPr>
                <w:sz w:val="18"/>
              </w:rPr>
              <w:t>1.736.299,44</w:t>
            </w:r>
          </w:p>
        </w:tc>
        <w:tc>
          <w:tcPr>
            <w:tcW w:w="1860" w:type="dxa"/>
            <w:tcMar>
              <w:top w:w="0" w:type="dxa"/>
              <w:bottom w:w="0" w:type="dxa"/>
            </w:tcMar>
            <w:vAlign w:val="center"/>
          </w:tcPr>
          <w:p w:rsidR="00F83447" w:rsidRDefault="0028555D">
            <w:pPr>
              <w:keepNext/>
              <w:keepLines/>
              <w:spacing w:after="0" w:line="240" w:lineRule="auto"/>
              <w:jc w:val="right"/>
            </w:pPr>
            <w:r>
              <w:rPr>
                <w:sz w:val="18"/>
              </w:rPr>
              <w:t>1.743.348,80</w:t>
            </w:r>
          </w:p>
        </w:tc>
        <w:tc>
          <w:tcPr>
            <w:tcW w:w="700" w:type="dxa"/>
            <w:tcMar>
              <w:top w:w="0" w:type="dxa"/>
              <w:bottom w:w="0" w:type="dxa"/>
            </w:tcMar>
            <w:vAlign w:val="center"/>
          </w:tcPr>
          <w:p w:rsidR="00F83447" w:rsidRDefault="0028555D">
            <w:pPr>
              <w:keepNext/>
              <w:keepLines/>
              <w:spacing w:after="0" w:line="240" w:lineRule="auto"/>
              <w:jc w:val="right"/>
            </w:pPr>
            <w:r>
              <w:rPr>
                <w:sz w:val="18"/>
              </w:rPr>
              <w:t>100,4</w:t>
            </w:r>
          </w:p>
        </w:tc>
      </w:tr>
    </w:tbl>
    <w:p w:rsidR="00F83447" w:rsidRDefault="00F83447">
      <w:pPr>
        <w:spacing w:after="0"/>
      </w:pPr>
    </w:p>
    <w:p w:rsidR="00F83447" w:rsidRDefault="0028555D" w:rsidP="00EE6A0C">
      <w:pPr>
        <w:jc w:val="both"/>
      </w:pPr>
      <w:r>
        <w:t>Evidentirano je povećanje u iznosu od 0,40%, odnosno za 7.049,36 eura u odnosu na isto razdoblje prethodne godine. Objekt Minerva je od 1. ožujka 2025. godine zatvoren zbog izvođenja radova na projektu „Unapređenje kvalitete smještaja i sadržaja hotela Minerva“, što je imalo izravan utjecaj na poslovanje te na ostvarenje prihoda u promatranom razdoblju. Radi održavanja kontinuiteta poslovanja i stabilnosti ove skupine prihoda, u najam je uzet prostor (kantina) u Medicinskoj školi Varaždin, u kojem se pripremaju obroci za učenike te ostale zainteresirane korisnike, čime je omogućeno djelomično nadomještanje izgubljenih kapaciteta. </w:t>
      </w:r>
    </w:p>
    <w:p w:rsidR="00F83447" w:rsidRDefault="00F83447"/>
    <w:p w:rsidR="00F83447" w:rsidRDefault="0028555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663</w:t>
            </w:r>
          </w:p>
        </w:tc>
        <w:tc>
          <w:tcPr>
            <w:tcW w:w="3180" w:type="dxa"/>
            <w:tcMar>
              <w:top w:w="0" w:type="dxa"/>
              <w:bottom w:w="0" w:type="dxa"/>
            </w:tcMar>
            <w:vAlign w:val="center"/>
          </w:tcPr>
          <w:p w:rsidR="00F83447" w:rsidRDefault="0028555D">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rsidR="00F83447" w:rsidRDefault="0028555D">
            <w:pPr>
              <w:keepNext/>
              <w:keepLines/>
              <w:spacing w:after="0" w:line="240" w:lineRule="auto"/>
            </w:pPr>
            <w:r>
              <w:rPr>
                <w:sz w:val="18"/>
              </w:rPr>
              <w:t>663</w:t>
            </w:r>
          </w:p>
        </w:tc>
        <w:tc>
          <w:tcPr>
            <w:tcW w:w="1860" w:type="dxa"/>
            <w:tcMar>
              <w:top w:w="0" w:type="dxa"/>
              <w:bottom w:w="0" w:type="dxa"/>
            </w:tcMar>
            <w:vAlign w:val="center"/>
          </w:tcPr>
          <w:p w:rsidR="00F83447" w:rsidRDefault="0028555D">
            <w:pPr>
              <w:keepNext/>
              <w:keepLines/>
              <w:spacing w:after="0" w:line="240" w:lineRule="auto"/>
              <w:jc w:val="right"/>
            </w:pPr>
            <w:r>
              <w:rPr>
                <w:sz w:val="18"/>
              </w:rPr>
              <w:t>11.370,09</w:t>
            </w:r>
          </w:p>
        </w:tc>
        <w:tc>
          <w:tcPr>
            <w:tcW w:w="1860" w:type="dxa"/>
            <w:tcMar>
              <w:top w:w="0" w:type="dxa"/>
              <w:bottom w:w="0" w:type="dxa"/>
            </w:tcMar>
            <w:vAlign w:val="center"/>
          </w:tcPr>
          <w:p w:rsidR="00F83447" w:rsidRDefault="0028555D">
            <w:pPr>
              <w:keepNext/>
              <w:keepLines/>
              <w:spacing w:after="0" w:line="240" w:lineRule="auto"/>
              <w:jc w:val="right"/>
            </w:pPr>
            <w:r>
              <w:rPr>
                <w:sz w:val="18"/>
              </w:rPr>
              <w:t>10.819,40</w:t>
            </w:r>
          </w:p>
        </w:tc>
        <w:tc>
          <w:tcPr>
            <w:tcW w:w="700" w:type="dxa"/>
            <w:tcMar>
              <w:top w:w="0" w:type="dxa"/>
              <w:bottom w:w="0" w:type="dxa"/>
            </w:tcMar>
            <w:vAlign w:val="center"/>
          </w:tcPr>
          <w:p w:rsidR="00F83447" w:rsidRDefault="0028555D">
            <w:pPr>
              <w:keepNext/>
              <w:keepLines/>
              <w:spacing w:after="0" w:line="240" w:lineRule="auto"/>
              <w:jc w:val="right"/>
            </w:pPr>
            <w:r>
              <w:rPr>
                <w:sz w:val="18"/>
              </w:rPr>
              <w:t>95,2</w:t>
            </w:r>
          </w:p>
        </w:tc>
      </w:tr>
    </w:tbl>
    <w:p w:rsidR="00F83447" w:rsidRDefault="00F83447">
      <w:pPr>
        <w:spacing w:after="0"/>
      </w:pPr>
    </w:p>
    <w:p w:rsidR="00F83447" w:rsidRDefault="0028555D" w:rsidP="00EE6A0C">
      <w:pPr>
        <w:jc w:val="both"/>
      </w:pPr>
      <w:r>
        <w:t>Evidentirani iznos od 10.819,40 eura odnosi se na primljene donacije trgovačkih društava za pokriće troškova stručnih edukacija radnika bolnice (sudjelovanja na kongresima, seminarima i tečajevima) u iznosu od 7.370,00 eura, na donacije za potrošni medicinski materijal u iznosu od 3.074,40 eura te na kapitalnu donaciju – analizator plinova u krvi u iznosu od 375,00 eura. U odnosu na isto razdoblje prethodne godine ostvaren manji iznos donacija za 4,80%, odnosno za 550,69 eura.</w:t>
      </w:r>
    </w:p>
    <w:p w:rsidR="00F83447" w:rsidRDefault="00F83447"/>
    <w:p w:rsidR="00F83447" w:rsidRDefault="0028555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67</w:t>
            </w:r>
          </w:p>
        </w:tc>
        <w:tc>
          <w:tcPr>
            <w:tcW w:w="3180" w:type="dxa"/>
            <w:tcMar>
              <w:top w:w="0" w:type="dxa"/>
              <w:bottom w:w="0" w:type="dxa"/>
            </w:tcMar>
            <w:vAlign w:val="center"/>
          </w:tcPr>
          <w:p w:rsidR="00F83447" w:rsidRDefault="0028555D">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rsidR="00F83447" w:rsidRDefault="0028555D">
            <w:pPr>
              <w:keepNext/>
              <w:keepLines/>
              <w:spacing w:after="0" w:line="240" w:lineRule="auto"/>
            </w:pPr>
            <w:r>
              <w:rPr>
                <w:sz w:val="18"/>
              </w:rPr>
              <w:t>67</w:t>
            </w:r>
          </w:p>
        </w:tc>
        <w:tc>
          <w:tcPr>
            <w:tcW w:w="1860" w:type="dxa"/>
            <w:tcMar>
              <w:top w:w="0" w:type="dxa"/>
              <w:bottom w:w="0" w:type="dxa"/>
            </w:tcMar>
            <w:vAlign w:val="center"/>
          </w:tcPr>
          <w:p w:rsidR="00F83447" w:rsidRDefault="0028555D">
            <w:pPr>
              <w:keepNext/>
              <w:keepLines/>
              <w:spacing w:after="0" w:line="240" w:lineRule="auto"/>
              <w:jc w:val="right"/>
            </w:pPr>
            <w:r>
              <w:rPr>
                <w:sz w:val="18"/>
              </w:rPr>
              <w:t>7.927.919,42</w:t>
            </w:r>
          </w:p>
        </w:tc>
        <w:tc>
          <w:tcPr>
            <w:tcW w:w="1860" w:type="dxa"/>
            <w:tcMar>
              <w:top w:w="0" w:type="dxa"/>
              <w:bottom w:w="0" w:type="dxa"/>
            </w:tcMar>
            <w:vAlign w:val="center"/>
          </w:tcPr>
          <w:p w:rsidR="00F83447" w:rsidRDefault="0028555D">
            <w:pPr>
              <w:keepNext/>
              <w:keepLines/>
              <w:spacing w:after="0" w:line="240" w:lineRule="auto"/>
              <w:jc w:val="right"/>
            </w:pPr>
            <w:r>
              <w:rPr>
                <w:sz w:val="18"/>
              </w:rPr>
              <w:t>9.146.730,25</w:t>
            </w:r>
          </w:p>
        </w:tc>
        <w:tc>
          <w:tcPr>
            <w:tcW w:w="700" w:type="dxa"/>
            <w:tcMar>
              <w:top w:w="0" w:type="dxa"/>
              <w:bottom w:w="0" w:type="dxa"/>
            </w:tcMar>
            <w:vAlign w:val="center"/>
          </w:tcPr>
          <w:p w:rsidR="00F83447" w:rsidRDefault="0028555D">
            <w:pPr>
              <w:keepNext/>
              <w:keepLines/>
              <w:spacing w:after="0" w:line="240" w:lineRule="auto"/>
              <w:jc w:val="right"/>
            </w:pPr>
            <w:r>
              <w:rPr>
                <w:sz w:val="18"/>
              </w:rPr>
              <w:t>115,4</w:t>
            </w:r>
          </w:p>
        </w:tc>
      </w:tr>
    </w:tbl>
    <w:p w:rsidR="00F83447" w:rsidRDefault="00F83447">
      <w:pPr>
        <w:spacing w:after="0"/>
      </w:pPr>
    </w:p>
    <w:p w:rsidR="00F83447" w:rsidRDefault="0028555D" w:rsidP="00EE6A0C">
      <w:pPr>
        <w:jc w:val="both"/>
      </w:pPr>
      <w:r>
        <w:t>Ostvareni su u ukupnom iznosu od 9.146.730,25 eura, veći su u odnosu na isto razdoblje prethodne 2025. godine za 15,40% ili za 1.218.810,83 eura. </w:t>
      </w:r>
    </w:p>
    <w:p w:rsidR="00F83447" w:rsidRDefault="00F83447"/>
    <w:p w:rsidR="00F83447" w:rsidRDefault="0028555D">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671</w:t>
            </w:r>
          </w:p>
        </w:tc>
        <w:tc>
          <w:tcPr>
            <w:tcW w:w="3180" w:type="dxa"/>
            <w:tcMar>
              <w:top w:w="0" w:type="dxa"/>
              <w:bottom w:w="0" w:type="dxa"/>
            </w:tcMar>
            <w:vAlign w:val="center"/>
          </w:tcPr>
          <w:p w:rsidR="00F83447" w:rsidRDefault="0028555D">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F83447" w:rsidRDefault="0028555D">
            <w:pPr>
              <w:keepNext/>
              <w:keepLines/>
              <w:spacing w:after="0" w:line="240" w:lineRule="auto"/>
            </w:pPr>
            <w:r>
              <w:rPr>
                <w:sz w:val="18"/>
              </w:rPr>
              <w:t>671</w:t>
            </w:r>
          </w:p>
        </w:tc>
        <w:tc>
          <w:tcPr>
            <w:tcW w:w="1860" w:type="dxa"/>
            <w:tcMar>
              <w:top w:w="0" w:type="dxa"/>
              <w:bottom w:w="0" w:type="dxa"/>
            </w:tcMar>
            <w:vAlign w:val="center"/>
          </w:tcPr>
          <w:p w:rsidR="00F83447" w:rsidRDefault="0028555D">
            <w:pPr>
              <w:keepNext/>
              <w:keepLines/>
              <w:spacing w:after="0" w:line="240" w:lineRule="auto"/>
              <w:jc w:val="right"/>
            </w:pPr>
            <w:r>
              <w:rPr>
                <w:sz w:val="18"/>
              </w:rPr>
              <w:t>541.360,32</w:t>
            </w:r>
          </w:p>
        </w:tc>
        <w:tc>
          <w:tcPr>
            <w:tcW w:w="1860" w:type="dxa"/>
            <w:tcMar>
              <w:top w:w="0" w:type="dxa"/>
              <w:bottom w:w="0" w:type="dxa"/>
            </w:tcMar>
            <w:vAlign w:val="center"/>
          </w:tcPr>
          <w:p w:rsidR="00F83447" w:rsidRDefault="0028555D">
            <w:pPr>
              <w:keepNext/>
              <w:keepLines/>
              <w:spacing w:after="0" w:line="240" w:lineRule="auto"/>
              <w:jc w:val="right"/>
            </w:pPr>
            <w:r>
              <w:rPr>
                <w:sz w:val="18"/>
              </w:rPr>
              <w:t>387.250,53</w:t>
            </w:r>
          </w:p>
        </w:tc>
        <w:tc>
          <w:tcPr>
            <w:tcW w:w="700" w:type="dxa"/>
            <w:tcMar>
              <w:top w:w="0" w:type="dxa"/>
              <w:bottom w:w="0" w:type="dxa"/>
            </w:tcMar>
            <w:vAlign w:val="center"/>
          </w:tcPr>
          <w:p w:rsidR="00F83447" w:rsidRDefault="0028555D">
            <w:pPr>
              <w:keepNext/>
              <w:keepLines/>
              <w:spacing w:after="0" w:line="240" w:lineRule="auto"/>
              <w:jc w:val="right"/>
            </w:pPr>
            <w:r>
              <w:rPr>
                <w:sz w:val="18"/>
              </w:rPr>
              <w:t>71,5</w:t>
            </w:r>
          </w:p>
        </w:tc>
      </w:tr>
    </w:tbl>
    <w:p w:rsidR="00F83447" w:rsidRDefault="00F83447">
      <w:pPr>
        <w:spacing w:after="0"/>
      </w:pPr>
    </w:p>
    <w:p w:rsidR="00F83447" w:rsidRDefault="0028555D" w:rsidP="00EE6A0C">
      <w:pPr>
        <w:jc w:val="both"/>
      </w:pPr>
      <w:r>
        <w:t>U poslovnoj 2026. godini evidentirani su prihodi po ovoj osnovi u iznosu 387.250,53 eura i manji su u odnosu na isto razdoblje prethodne godine za 28,50% ili 154.109,79 eura, a odnose se na financiranje otplate kamata i glavnice po dugoročnim kreditima za energetsku obnovu objekata bolnice. Poslovne 2025. godine ostvareni su prihodi u ukupnom iznosu od 541.360,32 eura koji su se odnosili na financiranje otplate kamata i glavnice po dugoročnim kreditima za energetsku obnovu objekata bolnice te financiranje rashoda za nabavu nefinancijske imovine.</w:t>
      </w:r>
    </w:p>
    <w:p w:rsidR="00F83447" w:rsidRDefault="00F83447"/>
    <w:p w:rsidR="00F83447" w:rsidRDefault="0028555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673</w:t>
            </w:r>
          </w:p>
        </w:tc>
        <w:tc>
          <w:tcPr>
            <w:tcW w:w="3180" w:type="dxa"/>
            <w:tcMar>
              <w:top w:w="0" w:type="dxa"/>
              <w:bottom w:w="0" w:type="dxa"/>
            </w:tcMar>
            <w:vAlign w:val="center"/>
          </w:tcPr>
          <w:p w:rsidR="00F83447" w:rsidRDefault="0028555D">
            <w:pPr>
              <w:keepNext/>
              <w:keepLines/>
              <w:spacing w:after="0" w:line="240" w:lineRule="auto"/>
            </w:pPr>
            <w:r>
              <w:rPr>
                <w:sz w:val="18"/>
              </w:rPr>
              <w:t>Prihodi od HZZO-a na temelju ugovornih obveza</w:t>
            </w:r>
          </w:p>
        </w:tc>
        <w:tc>
          <w:tcPr>
            <w:tcW w:w="700" w:type="dxa"/>
            <w:tcMar>
              <w:top w:w="0" w:type="dxa"/>
              <w:bottom w:w="0" w:type="dxa"/>
            </w:tcMar>
            <w:vAlign w:val="center"/>
          </w:tcPr>
          <w:p w:rsidR="00F83447" w:rsidRDefault="0028555D">
            <w:pPr>
              <w:keepNext/>
              <w:keepLines/>
              <w:spacing w:after="0" w:line="240" w:lineRule="auto"/>
            </w:pPr>
            <w:r>
              <w:rPr>
                <w:sz w:val="18"/>
              </w:rPr>
              <w:t>673</w:t>
            </w:r>
          </w:p>
        </w:tc>
        <w:tc>
          <w:tcPr>
            <w:tcW w:w="1860" w:type="dxa"/>
            <w:tcMar>
              <w:top w:w="0" w:type="dxa"/>
              <w:bottom w:w="0" w:type="dxa"/>
            </w:tcMar>
            <w:vAlign w:val="center"/>
          </w:tcPr>
          <w:p w:rsidR="00F83447" w:rsidRDefault="0028555D">
            <w:pPr>
              <w:keepNext/>
              <w:keepLines/>
              <w:spacing w:after="0" w:line="240" w:lineRule="auto"/>
              <w:jc w:val="right"/>
            </w:pPr>
            <w:r>
              <w:rPr>
                <w:sz w:val="18"/>
              </w:rPr>
              <w:t>7.386.559,10</w:t>
            </w:r>
          </w:p>
        </w:tc>
        <w:tc>
          <w:tcPr>
            <w:tcW w:w="1860" w:type="dxa"/>
            <w:tcMar>
              <w:top w:w="0" w:type="dxa"/>
              <w:bottom w:w="0" w:type="dxa"/>
            </w:tcMar>
            <w:vAlign w:val="center"/>
          </w:tcPr>
          <w:p w:rsidR="00F83447" w:rsidRDefault="0028555D">
            <w:pPr>
              <w:keepNext/>
              <w:keepLines/>
              <w:spacing w:after="0" w:line="240" w:lineRule="auto"/>
              <w:jc w:val="right"/>
            </w:pPr>
            <w:r>
              <w:rPr>
                <w:sz w:val="18"/>
              </w:rPr>
              <w:t>8.759.479,72</w:t>
            </w:r>
          </w:p>
        </w:tc>
        <w:tc>
          <w:tcPr>
            <w:tcW w:w="700" w:type="dxa"/>
            <w:tcMar>
              <w:top w:w="0" w:type="dxa"/>
              <w:bottom w:w="0" w:type="dxa"/>
            </w:tcMar>
            <w:vAlign w:val="center"/>
          </w:tcPr>
          <w:p w:rsidR="00F83447" w:rsidRDefault="0028555D">
            <w:pPr>
              <w:keepNext/>
              <w:keepLines/>
              <w:spacing w:after="0" w:line="240" w:lineRule="auto"/>
              <w:jc w:val="right"/>
            </w:pPr>
            <w:r>
              <w:rPr>
                <w:sz w:val="18"/>
              </w:rPr>
              <w:t>118,6</w:t>
            </w:r>
          </w:p>
        </w:tc>
      </w:tr>
    </w:tbl>
    <w:p w:rsidR="00F83447" w:rsidRDefault="00F83447">
      <w:pPr>
        <w:spacing w:after="0"/>
      </w:pPr>
    </w:p>
    <w:p w:rsidR="00F83447" w:rsidRDefault="0028555D" w:rsidP="00EE6A0C">
      <w:pPr>
        <w:jc w:val="both"/>
      </w:pPr>
      <w:r>
        <w:t>Prihodi su u odnosu na prethodnu 2025. godinu ostvareni u većem iznosu za 18,60%, odnosno za 1.372.920,62 eura. Navedeno povećanje rezultat je većeg iznosa dodijeljenih limitiranih sredstava u poslovnoj 2026. godini, što je povezano s korekcijom cijena koja je stupila na snagu u prosincu 2025. godine.</w:t>
      </w:r>
    </w:p>
    <w:p w:rsidR="00F83447" w:rsidRDefault="00F83447"/>
    <w:p w:rsidR="00F83447" w:rsidRDefault="0028555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68</w:t>
            </w:r>
          </w:p>
        </w:tc>
        <w:tc>
          <w:tcPr>
            <w:tcW w:w="3180" w:type="dxa"/>
            <w:tcMar>
              <w:top w:w="0" w:type="dxa"/>
              <w:bottom w:w="0" w:type="dxa"/>
            </w:tcMar>
            <w:vAlign w:val="center"/>
          </w:tcPr>
          <w:p w:rsidR="00F83447" w:rsidRDefault="0028555D">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F83447" w:rsidRDefault="0028555D">
            <w:pPr>
              <w:keepNext/>
              <w:keepLines/>
              <w:spacing w:after="0" w:line="240" w:lineRule="auto"/>
            </w:pPr>
            <w:r>
              <w:rPr>
                <w:sz w:val="18"/>
              </w:rPr>
              <w:t>68</w:t>
            </w:r>
          </w:p>
        </w:tc>
        <w:tc>
          <w:tcPr>
            <w:tcW w:w="1860" w:type="dxa"/>
            <w:tcMar>
              <w:top w:w="0" w:type="dxa"/>
              <w:bottom w:w="0" w:type="dxa"/>
            </w:tcMar>
            <w:vAlign w:val="center"/>
          </w:tcPr>
          <w:p w:rsidR="00F83447" w:rsidRDefault="0028555D">
            <w:pPr>
              <w:keepNext/>
              <w:keepLines/>
              <w:spacing w:after="0" w:line="240" w:lineRule="auto"/>
              <w:jc w:val="right"/>
            </w:pPr>
            <w:r>
              <w:rPr>
                <w:sz w:val="18"/>
              </w:rPr>
              <w:t>539,26</w:t>
            </w:r>
          </w:p>
        </w:tc>
        <w:tc>
          <w:tcPr>
            <w:tcW w:w="1860" w:type="dxa"/>
            <w:tcMar>
              <w:top w:w="0" w:type="dxa"/>
              <w:bottom w:w="0" w:type="dxa"/>
            </w:tcMar>
            <w:vAlign w:val="center"/>
          </w:tcPr>
          <w:p w:rsidR="00F83447" w:rsidRDefault="0028555D">
            <w:pPr>
              <w:keepNext/>
              <w:keepLines/>
              <w:spacing w:after="0" w:line="240" w:lineRule="auto"/>
              <w:jc w:val="right"/>
            </w:pPr>
            <w:r>
              <w:rPr>
                <w:sz w:val="18"/>
              </w:rPr>
              <w:t>0,00</w:t>
            </w:r>
          </w:p>
        </w:tc>
        <w:tc>
          <w:tcPr>
            <w:tcW w:w="700" w:type="dxa"/>
            <w:tcMar>
              <w:top w:w="0" w:type="dxa"/>
              <w:bottom w:w="0" w:type="dxa"/>
            </w:tcMar>
            <w:vAlign w:val="center"/>
          </w:tcPr>
          <w:p w:rsidR="00F83447" w:rsidRDefault="0028555D">
            <w:pPr>
              <w:keepNext/>
              <w:keepLines/>
              <w:spacing w:after="0" w:line="240" w:lineRule="auto"/>
              <w:jc w:val="right"/>
            </w:pPr>
            <w:r>
              <w:rPr>
                <w:sz w:val="18"/>
              </w:rPr>
              <w:t>0</w:t>
            </w:r>
          </w:p>
        </w:tc>
      </w:tr>
    </w:tbl>
    <w:p w:rsidR="00F83447" w:rsidRDefault="00F83447">
      <w:pPr>
        <w:spacing w:after="0"/>
      </w:pPr>
    </w:p>
    <w:p w:rsidR="00F83447" w:rsidRDefault="0028555D" w:rsidP="00EE6A0C">
      <w:pPr>
        <w:jc w:val="both"/>
      </w:pPr>
      <w:r>
        <w:t>Prethodne godine na ovoj poziciji evidentiran iznos od 539,26 eura za razne popuste i rabate. Poslovne godine nema evidentiranih prihoda. </w:t>
      </w:r>
    </w:p>
    <w:p w:rsidR="00F83447" w:rsidRDefault="00F83447"/>
    <w:p w:rsidR="00EE6A0C" w:rsidRDefault="00EE6A0C"/>
    <w:p w:rsidR="00F83447" w:rsidRDefault="0028555D">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311</w:t>
            </w:r>
          </w:p>
        </w:tc>
        <w:tc>
          <w:tcPr>
            <w:tcW w:w="3180" w:type="dxa"/>
            <w:tcMar>
              <w:top w:w="0" w:type="dxa"/>
              <w:bottom w:w="0" w:type="dxa"/>
            </w:tcMar>
            <w:vAlign w:val="center"/>
          </w:tcPr>
          <w:p w:rsidR="00F83447" w:rsidRDefault="0028555D">
            <w:pPr>
              <w:keepNext/>
              <w:keepLines/>
              <w:spacing w:after="0" w:line="240" w:lineRule="auto"/>
            </w:pPr>
            <w:r>
              <w:rPr>
                <w:sz w:val="18"/>
              </w:rPr>
              <w:t>Plaće (bruto) (šifre 3111 do 3114)</w:t>
            </w:r>
          </w:p>
        </w:tc>
        <w:tc>
          <w:tcPr>
            <w:tcW w:w="700" w:type="dxa"/>
            <w:tcMar>
              <w:top w:w="0" w:type="dxa"/>
              <w:bottom w:w="0" w:type="dxa"/>
            </w:tcMar>
            <w:vAlign w:val="center"/>
          </w:tcPr>
          <w:p w:rsidR="00F83447" w:rsidRDefault="0028555D">
            <w:pPr>
              <w:keepNext/>
              <w:keepLines/>
              <w:spacing w:after="0" w:line="240" w:lineRule="auto"/>
            </w:pPr>
            <w:r>
              <w:rPr>
                <w:sz w:val="18"/>
              </w:rPr>
              <w:t>311</w:t>
            </w:r>
          </w:p>
        </w:tc>
        <w:tc>
          <w:tcPr>
            <w:tcW w:w="1860" w:type="dxa"/>
            <w:tcMar>
              <w:top w:w="0" w:type="dxa"/>
              <w:bottom w:w="0" w:type="dxa"/>
            </w:tcMar>
            <w:vAlign w:val="center"/>
          </w:tcPr>
          <w:p w:rsidR="00F83447" w:rsidRDefault="0028555D">
            <w:pPr>
              <w:keepNext/>
              <w:keepLines/>
              <w:spacing w:after="0" w:line="240" w:lineRule="auto"/>
              <w:jc w:val="right"/>
            </w:pPr>
            <w:r>
              <w:rPr>
                <w:sz w:val="18"/>
              </w:rPr>
              <w:t>7.832.077,15</w:t>
            </w:r>
          </w:p>
        </w:tc>
        <w:tc>
          <w:tcPr>
            <w:tcW w:w="1860" w:type="dxa"/>
            <w:tcMar>
              <w:top w:w="0" w:type="dxa"/>
              <w:bottom w:w="0" w:type="dxa"/>
            </w:tcMar>
            <w:vAlign w:val="center"/>
          </w:tcPr>
          <w:p w:rsidR="00F83447" w:rsidRDefault="0028555D">
            <w:pPr>
              <w:keepNext/>
              <w:keepLines/>
              <w:spacing w:after="0" w:line="240" w:lineRule="auto"/>
              <w:jc w:val="right"/>
            </w:pPr>
            <w:r>
              <w:rPr>
                <w:sz w:val="18"/>
              </w:rPr>
              <w:t>7.773.949,85</w:t>
            </w:r>
          </w:p>
        </w:tc>
        <w:tc>
          <w:tcPr>
            <w:tcW w:w="700" w:type="dxa"/>
            <w:tcMar>
              <w:top w:w="0" w:type="dxa"/>
              <w:bottom w:w="0" w:type="dxa"/>
            </w:tcMar>
            <w:vAlign w:val="center"/>
          </w:tcPr>
          <w:p w:rsidR="00F83447" w:rsidRDefault="0028555D">
            <w:pPr>
              <w:keepNext/>
              <w:keepLines/>
              <w:spacing w:after="0" w:line="240" w:lineRule="auto"/>
              <w:jc w:val="right"/>
            </w:pPr>
            <w:r>
              <w:rPr>
                <w:sz w:val="18"/>
              </w:rPr>
              <w:t>99,3</w:t>
            </w:r>
          </w:p>
        </w:tc>
      </w:tr>
    </w:tbl>
    <w:p w:rsidR="00F83447" w:rsidRDefault="00F83447">
      <w:pPr>
        <w:spacing w:after="0"/>
      </w:pPr>
    </w:p>
    <w:p w:rsidR="00F83447" w:rsidRDefault="0028555D" w:rsidP="00EE6A0C">
      <w:pPr>
        <w:jc w:val="both"/>
      </w:pPr>
      <w:r>
        <w:t>Ukupni troškovi u poslovnoj 2026. godini iznose 7.773.949,85 eura, što predstavlja smanjenje od 0,70 %, odnosno 58.127,30 eura u odnosu na prethodnu, 2025. godinu. Smanjenje je prvenstveno rezultat promjene u broju i strukturi zaposlenih. Na dan 30. lipnja 2026. godine zaposleno je 658 djelatnika, dok je na isti datum prethodne godine bilo 666 zaposlenih. Zbog provođenja projekta „Unapređenje kvalitete smještaja i sadržaja hotela Minerva“ cijeli hotel je u potpunosti zatvoren te je došlo do preraspodjele radne snage. Djelatnici hotela Minerva privremeno obavljaju poslove u drugim organizacijskim jedinicama bolnice. Iz tog razloga nije bilo novih zapošljavanja, osim u slučajevima kada u postojećoj strukturi nije bilo moguće osigurati adekvatnu zamjenu.</w:t>
      </w:r>
    </w:p>
    <w:p w:rsidR="00F83447" w:rsidRDefault="00F83447"/>
    <w:p w:rsidR="00F83447" w:rsidRDefault="0028555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312</w:t>
            </w:r>
          </w:p>
        </w:tc>
        <w:tc>
          <w:tcPr>
            <w:tcW w:w="3180" w:type="dxa"/>
            <w:tcMar>
              <w:top w:w="0" w:type="dxa"/>
              <w:bottom w:w="0" w:type="dxa"/>
            </w:tcMar>
            <w:vAlign w:val="center"/>
          </w:tcPr>
          <w:p w:rsidR="00F83447" w:rsidRDefault="0028555D">
            <w:pPr>
              <w:keepNext/>
              <w:keepLines/>
              <w:spacing w:after="0" w:line="240" w:lineRule="auto"/>
            </w:pPr>
            <w:r>
              <w:rPr>
                <w:sz w:val="18"/>
              </w:rPr>
              <w:t>Ostali rashodi za zaposlene</w:t>
            </w:r>
          </w:p>
        </w:tc>
        <w:tc>
          <w:tcPr>
            <w:tcW w:w="700" w:type="dxa"/>
            <w:tcMar>
              <w:top w:w="0" w:type="dxa"/>
              <w:bottom w:w="0" w:type="dxa"/>
            </w:tcMar>
            <w:vAlign w:val="center"/>
          </w:tcPr>
          <w:p w:rsidR="00F83447" w:rsidRDefault="0028555D">
            <w:pPr>
              <w:keepNext/>
              <w:keepLines/>
              <w:spacing w:after="0" w:line="240" w:lineRule="auto"/>
            </w:pPr>
            <w:r>
              <w:rPr>
                <w:sz w:val="18"/>
              </w:rPr>
              <w:t>312</w:t>
            </w:r>
          </w:p>
        </w:tc>
        <w:tc>
          <w:tcPr>
            <w:tcW w:w="1860" w:type="dxa"/>
            <w:tcMar>
              <w:top w:w="0" w:type="dxa"/>
              <w:bottom w:w="0" w:type="dxa"/>
            </w:tcMar>
            <w:vAlign w:val="center"/>
          </w:tcPr>
          <w:p w:rsidR="00F83447" w:rsidRDefault="0028555D">
            <w:pPr>
              <w:keepNext/>
              <w:keepLines/>
              <w:spacing w:after="0" w:line="240" w:lineRule="auto"/>
              <w:jc w:val="right"/>
            </w:pPr>
            <w:r>
              <w:rPr>
                <w:sz w:val="18"/>
              </w:rPr>
              <w:t>156.363,31</w:t>
            </w:r>
          </w:p>
        </w:tc>
        <w:tc>
          <w:tcPr>
            <w:tcW w:w="1860" w:type="dxa"/>
            <w:tcMar>
              <w:top w:w="0" w:type="dxa"/>
              <w:bottom w:w="0" w:type="dxa"/>
            </w:tcMar>
            <w:vAlign w:val="center"/>
          </w:tcPr>
          <w:p w:rsidR="00F83447" w:rsidRDefault="0028555D">
            <w:pPr>
              <w:keepNext/>
              <w:keepLines/>
              <w:spacing w:after="0" w:line="240" w:lineRule="auto"/>
              <w:jc w:val="right"/>
            </w:pPr>
            <w:r>
              <w:rPr>
                <w:sz w:val="18"/>
              </w:rPr>
              <w:t>385.250,81</w:t>
            </w:r>
          </w:p>
        </w:tc>
        <w:tc>
          <w:tcPr>
            <w:tcW w:w="700" w:type="dxa"/>
            <w:tcMar>
              <w:top w:w="0" w:type="dxa"/>
              <w:bottom w:w="0" w:type="dxa"/>
            </w:tcMar>
            <w:vAlign w:val="center"/>
          </w:tcPr>
          <w:p w:rsidR="00F83447" w:rsidRDefault="0028555D">
            <w:pPr>
              <w:keepNext/>
              <w:keepLines/>
              <w:spacing w:after="0" w:line="240" w:lineRule="auto"/>
              <w:jc w:val="right"/>
            </w:pPr>
            <w:r>
              <w:rPr>
                <w:sz w:val="18"/>
              </w:rPr>
              <w:t>246,4</w:t>
            </w:r>
          </w:p>
        </w:tc>
      </w:tr>
    </w:tbl>
    <w:p w:rsidR="00F83447" w:rsidRDefault="00F83447">
      <w:pPr>
        <w:spacing w:after="0"/>
      </w:pPr>
    </w:p>
    <w:p w:rsidR="00F83447" w:rsidRDefault="0028555D" w:rsidP="00EE6A0C">
      <w:pPr>
        <w:jc w:val="both"/>
      </w:pPr>
      <w:r>
        <w:t xml:space="preserve">Ukupni troškovi u promatranom razdoblju iznose 385.250,81 eura te su veći za 146,40 %, odnosno za 228.887,50 eura u odnosu na isto razdoblje prethodne godine. Povećanje troškova najvećim se dijelom odnosi na trošak regresa, koji je u tekućoj poslovnoj godini isplaćen zajedno s plaćom za mjesec lipanj, dok je u prethodnoj poslovnoj godini isplaćen zasebno u mjesecu srpnju, što je utjecalo na dinamiku evidentiranja troška u promatranim razdobljima. Nadalje, povećanje je evidentirano i na pozicijama otpremnina zbog odlaska velikog broja zaposlenih u starosnu mirovinu te potpora za novorođeno dijete. Istodobno, ostale naknade zaposlenicima bilježe smanjenje, uključujući </w:t>
      </w:r>
      <w:proofErr w:type="spellStart"/>
      <w:r>
        <w:t>uskrsnice</w:t>
      </w:r>
      <w:proofErr w:type="spellEnd"/>
      <w:r>
        <w:t>, jubilarne nagrade te pomoći u slučaju smrti i bolovanja. Navedeno smanjenje povezano je s manjim brojem zaposlenih u odnosu na prethodno izvještajno razdoblje.</w:t>
      </w:r>
    </w:p>
    <w:p w:rsidR="00F83447" w:rsidRDefault="00F83447"/>
    <w:p w:rsidR="00F83447" w:rsidRDefault="0028555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313</w:t>
            </w:r>
          </w:p>
        </w:tc>
        <w:tc>
          <w:tcPr>
            <w:tcW w:w="3180" w:type="dxa"/>
            <w:tcMar>
              <w:top w:w="0" w:type="dxa"/>
              <w:bottom w:w="0" w:type="dxa"/>
            </w:tcMar>
            <w:vAlign w:val="center"/>
          </w:tcPr>
          <w:p w:rsidR="00F83447" w:rsidRDefault="0028555D">
            <w:pPr>
              <w:keepNext/>
              <w:keepLines/>
              <w:spacing w:after="0" w:line="240" w:lineRule="auto"/>
            </w:pPr>
            <w:r>
              <w:rPr>
                <w:sz w:val="18"/>
              </w:rPr>
              <w:t>Doprinosi na plaće (šifre 3131 do 3133)</w:t>
            </w:r>
          </w:p>
        </w:tc>
        <w:tc>
          <w:tcPr>
            <w:tcW w:w="700" w:type="dxa"/>
            <w:tcMar>
              <w:top w:w="0" w:type="dxa"/>
              <w:bottom w:w="0" w:type="dxa"/>
            </w:tcMar>
            <w:vAlign w:val="center"/>
          </w:tcPr>
          <w:p w:rsidR="00F83447" w:rsidRDefault="0028555D">
            <w:pPr>
              <w:keepNext/>
              <w:keepLines/>
              <w:spacing w:after="0" w:line="240" w:lineRule="auto"/>
            </w:pPr>
            <w:r>
              <w:rPr>
                <w:sz w:val="18"/>
              </w:rPr>
              <w:t>313</w:t>
            </w:r>
          </w:p>
        </w:tc>
        <w:tc>
          <w:tcPr>
            <w:tcW w:w="1860" w:type="dxa"/>
            <w:tcMar>
              <w:top w:w="0" w:type="dxa"/>
              <w:bottom w:w="0" w:type="dxa"/>
            </w:tcMar>
            <w:vAlign w:val="center"/>
          </w:tcPr>
          <w:p w:rsidR="00F83447" w:rsidRDefault="0028555D">
            <w:pPr>
              <w:keepNext/>
              <w:keepLines/>
              <w:spacing w:after="0" w:line="240" w:lineRule="auto"/>
              <w:jc w:val="right"/>
            </w:pPr>
            <w:r>
              <w:rPr>
                <w:sz w:val="18"/>
              </w:rPr>
              <w:t>1.161.001,51</w:t>
            </w:r>
          </w:p>
        </w:tc>
        <w:tc>
          <w:tcPr>
            <w:tcW w:w="1860" w:type="dxa"/>
            <w:tcMar>
              <w:top w:w="0" w:type="dxa"/>
              <w:bottom w:w="0" w:type="dxa"/>
            </w:tcMar>
            <w:vAlign w:val="center"/>
          </w:tcPr>
          <w:p w:rsidR="00F83447" w:rsidRDefault="0028555D">
            <w:pPr>
              <w:keepNext/>
              <w:keepLines/>
              <w:spacing w:after="0" w:line="240" w:lineRule="auto"/>
              <w:jc w:val="right"/>
            </w:pPr>
            <w:r>
              <w:rPr>
                <w:sz w:val="18"/>
              </w:rPr>
              <w:t>1.169.481,23</w:t>
            </w:r>
          </w:p>
        </w:tc>
        <w:tc>
          <w:tcPr>
            <w:tcW w:w="700" w:type="dxa"/>
            <w:tcMar>
              <w:top w:w="0" w:type="dxa"/>
              <w:bottom w:w="0" w:type="dxa"/>
            </w:tcMar>
            <w:vAlign w:val="center"/>
          </w:tcPr>
          <w:p w:rsidR="00F83447" w:rsidRDefault="0028555D">
            <w:pPr>
              <w:keepNext/>
              <w:keepLines/>
              <w:spacing w:after="0" w:line="240" w:lineRule="auto"/>
              <w:jc w:val="right"/>
            </w:pPr>
            <w:r>
              <w:rPr>
                <w:sz w:val="18"/>
              </w:rPr>
              <w:t>100,7</w:t>
            </w:r>
          </w:p>
        </w:tc>
      </w:tr>
    </w:tbl>
    <w:p w:rsidR="00F83447" w:rsidRDefault="00F83447">
      <w:pPr>
        <w:spacing w:after="0"/>
      </w:pPr>
    </w:p>
    <w:p w:rsidR="00F83447" w:rsidRDefault="0028555D" w:rsidP="00EE6A0C">
      <w:pPr>
        <w:jc w:val="both"/>
      </w:pPr>
      <w:r>
        <w:t xml:space="preserve">Troškovi doprinosa ostvareni su u iznosu od 1.169.481,23 eura te su veći za 0,70 %, odnosno za 8.479,72 eura u odnosu na isto razdoblje prethodne godine. Navedeno povećanje prati kretanje troškova bruto plaća, budući da se doprinosi obračunavaju na propisanu osnovicu za </w:t>
      </w:r>
      <w:r>
        <w:lastRenderedPageBreak/>
        <w:t>obračun plaće. Doprinosi su obračunati i isplaćeni u skladu s važećim zakonskim propisima, a promjena u odnosu na prethodno razdoblje proizlazi iz promjena u strukturi i visini isplaćenih plaća te ostalih elemenata koji utječu na obračun doprinosa.</w:t>
      </w:r>
    </w:p>
    <w:p w:rsidR="00F83447" w:rsidRDefault="00F83447"/>
    <w:p w:rsidR="00F83447" w:rsidRDefault="0028555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321</w:t>
            </w:r>
          </w:p>
        </w:tc>
        <w:tc>
          <w:tcPr>
            <w:tcW w:w="3180" w:type="dxa"/>
            <w:tcMar>
              <w:top w:w="0" w:type="dxa"/>
              <w:bottom w:w="0" w:type="dxa"/>
            </w:tcMar>
            <w:vAlign w:val="center"/>
          </w:tcPr>
          <w:p w:rsidR="00F83447" w:rsidRDefault="0028555D">
            <w:pPr>
              <w:keepNext/>
              <w:keepLines/>
              <w:spacing w:after="0" w:line="240" w:lineRule="auto"/>
            </w:pPr>
            <w:r>
              <w:rPr>
                <w:sz w:val="18"/>
              </w:rPr>
              <w:t>Naknade troškova zaposlenima (šifre 3211 do 3214)</w:t>
            </w:r>
          </w:p>
        </w:tc>
        <w:tc>
          <w:tcPr>
            <w:tcW w:w="700" w:type="dxa"/>
            <w:tcMar>
              <w:top w:w="0" w:type="dxa"/>
              <w:bottom w:w="0" w:type="dxa"/>
            </w:tcMar>
            <w:vAlign w:val="center"/>
          </w:tcPr>
          <w:p w:rsidR="00F83447" w:rsidRDefault="0028555D">
            <w:pPr>
              <w:keepNext/>
              <w:keepLines/>
              <w:spacing w:after="0" w:line="240" w:lineRule="auto"/>
            </w:pPr>
            <w:r>
              <w:rPr>
                <w:sz w:val="18"/>
              </w:rPr>
              <w:t>321</w:t>
            </w:r>
          </w:p>
        </w:tc>
        <w:tc>
          <w:tcPr>
            <w:tcW w:w="1860" w:type="dxa"/>
            <w:tcMar>
              <w:top w:w="0" w:type="dxa"/>
              <w:bottom w:w="0" w:type="dxa"/>
            </w:tcMar>
            <w:vAlign w:val="center"/>
          </w:tcPr>
          <w:p w:rsidR="00F83447" w:rsidRDefault="0028555D">
            <w:pPr>
              <w:keepNext/>
              <w:keepLines/>
              <w:spacing w:after="0" w:line="240" w:lineRule="auto"/>
              <w:jc w:val="right"/>
            </w:pPr>
            <w:r>
              <w:rPr>
                <w:sz w:val="18"/>
              </w:rPr>
              <w:t>369.282,74</w:t>
            </w:r>
          </w:p>
        </w:tc>
        <w:tc>
          <w:tcPr>
            <w:tcW w:w="1860" w:type="dxa"/>
            <w:tcMar>
              <w:top w:w="0" w:type="dxa"/>
              <w:bottom w:w="0" w:type="dxa"/>
            </w:tcMar>
            <w:vAlign w:val="center"/>
          </w:tcPr>
          <w:p w:rsidR="00F83447" w:rsidRDefault="0028555D">
            <w:pPr>
              <w:keepNext/>
              <w:keepLines/>
              <w:spacing w:after="0" w:line="240" w:lineRule="auto"/>
              <w:jc w:val="right"/>
            </w:pPr>
            <w:r>
              <w:rPr>
                <w:sz w:val="18"/>
              </w:rPr>
              <w:t>405.145,39</w:t>
            </w:r>
          </w:p>
        </w:tc>
        <w:tc>
          <w:tcPr>
            <w:tcW w:w="700" w:type="dxa"/>
            <w:tcMar>
              <w:top w:w="0" w:type="dxa"/>
              <w:bottom w:w="0" w:type="dxa"/>
            </w:tcMar>
            <w:vAlign w:val="center"/>
          </w:tcPr>
          <w:p w:rsidR="00F83447" w:rsidRDefault="0028555D">
            <w:pPr>
              <w:keepNext/>
              <w:keepLines/>
              <w:spacing w:after="0" w:line="240" w:lineRule="auto"/>
              <w:jc w:val="right"/>
            </w:pPr>
            <w:r>
              <w:rPr>
                <w:sz w:val="18"/>
              </w:rPr>
              <w:t>109,7</w:t>
            </w:r>
          </w:p>
        </w:tc>
      </w:tr>
    </w:tbl>
    <w:p w:rsidR="00F83447" w:rsidRDefault="00F83447">
      <w:pPr>
        <w:spacing w:after="0"/>
      </w:pPr>
    </w:p>
    <w:p w:rsidR="00F83447" w:rsidRDefault="0028555D" w:rsidP="00EE6A0C">
      <w:pPr>
        <w:jc w:val="both"/>
      </w:pPr>
      <w:r>
        <w:t>Ukupni troškovi u promatranom razdoblju iznose 405.145,39 eura te predstavljaju povećanje od 9,70 %, odnosno za 35.862,65 eura u odnosu na isto razdoblje prethodne godine. Povećanje troškova najvećim se dijelom odnosi na veći broj službenih putovanja zaposlenika te intenzivnije aktivnosti stručnog usavršavanja. Dodatno, zbog planiranog ponovnog otvaranja hotela Minerva u poslovnoj 2026. godini, povećan je opseg promotivnih i marketinških aktivnosti, uključujući sudjelovanje na sajmovima i drugim prezentacijskim događanjima s ciljem informiranja tržišta i privlačenja potencijalnih gostiju, što je također utjecalo na povećanje ove skupine rashoda. U prethodnom izvještajnom razdoblju navedena skupina troškova bila je značajno reducirana temeljem odluke Uprave ustanove o racionalizaciji rashoda tijekom provedbe projekta „Unapređenje kvalitete smještaja i sadržaja hotela Minerva“. S obzirom na očekivano smanjenje prihoda tijekom izvođenja radova i privremeno zatvaranje objekta, operativni izdaci bili su prilagođeni smanjenom opsegu poslovanja i svedeni na nužnu razinu.</w:t>
      </w:r>
    </w:p>
    <w:p w:rsidR="00F83447" w:rsidRDefault="00F83447"/>
    <w:p w:rsidR="00F83447" w:rsidRDefault="0028555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322</w:t>
            </w:r>
          </w:p>
        </w:tc>
        <w:tc>
          <w:tcPr>
            <w:tcW w:w="3180" w:type="dxa"/>
            <w:tcMar>
              <w:top w:w="0" w:type="dxa"/>
              <w:bottom w:w="0" w:type="dxa"/>
            </w:tcMar>
            <w:vAlign w:val="center"/>
          </w:tcPr>
          <w:p w:rsidR="00F83447" w:rsidRDefault="0028555D">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F83447" w:rsidRDefault="0028555D">
            <w:pPr>
              <w:keepNext/>
              <w:keepLines/>
              <w:spacing w:after="0" w:line="240" w:lineRule="auto"/>
            </w:pPr>
            <w:r>
              <w:rPr>
                <w:sz w:val="18"/>
              </w:rPr>
              <w:t>322</w:t>
            </w:r>
          </w:p>
        </w:tc>
        <w:tc>
          <w:tcPr>
            <w:tcW w:w="1860" w:type="dxa"/>
            <w:tcMar>
              <w:top w:w="0" w:type="dxa"/>
              <w:bottom w:w="0" w:type="dxa"/>
            </w:tcMar>
            <w:vAlign w:val="center"/>
          </w:tcPr>
          <w:p w:rsidR="00F83447" w:rsidRDefault="0028555D">
            <w:pPr>
              <w:keepNext/>
              <w:keepLines/>
              <w:spacing w:after="0" w:line="240" w:lineRule="auto"/>
              <w:jc w:val="right"/>
            </w:pPr>
            <w:r>
              <w:rPr>
                <w:sz w:val="18"/>
              </w:rPr>
              <w:t>985.549,46</w:t>
            </w:r>
          </w:p>
        </w:tc>
        <w:tc>
          <w:tcPr>
            <w:tcW w:w="1860" w:type="dxa"/>
            <w:tcMar>
              <w:top w:w="0" w:type="dxa"/>
              <w:bottom w:w="0" w:type="dxa"/>
            </w:tcMar>
            <w:vAlign w:val="center"/>
          </w:tcPr>
          <w:p w:rsidR="00F83447" w:rsidRDefault="0028555D">
            <w:pPr>
              <w:keepNext/>
              <w:keepLines/>
              <w:spacing w:after="0" w:line="240" w:lineRule="auto"/>
              <w:jc w:val="right"/>
            </w:pPr>
            <w:r>
              <w:rPr>
                <w:sz w:val="18"/>
              </w:rPr>
              <w:t>1.002.847,78</w:t>
            </w:r>
          </w:p>
        </w:tc>
        <w:tc>
          <w:tcPr>
            <w:tcW w:w="700" w:type="dxa"/>
            <w:tcMar>
              <w:top w:w="0" w:type="dxa"/>
              <w:bottom w:w="0" w:type="dxa"/>
            </w:tcMar>
            <w:vAlign w:val="center"/>
          </w:tcPr>
          <w:p w:rsidR="00F83447" w:rsidRDefault="0028555D">
            <w:pPr>
              <w:keepNext/>
              <w:keepLines/>
              <w:spacing w:after="0" w:line="240" w:lineRule="auto"/>
              <w:jc w:val="right"/>
            </w:pPr>
            <w:r>
              <w:rPr>
                <w:sz w:val="18"/>
              </w:rPr>
              <w:t>101,8</w:t>
            </w:r>
          </w:p>
        </w:tc>
      </w:tr>
    </w:tbl>
    <w:p w:rsidR="00F83447" w:rsidRDefault="00F83447">
      <w:pPr>
        <w:spacing w:after="0"/>
      </w:pPr>
    </w:p>
    <w:p w:rsidR="00F83447" w:rsidRDefault="0028555D" w:rsidP="00EE6A0C">
      <w:pPr>
        <w:jc w:val="both"/>
      </w:pPr>
      <w:r>
        <w:t>Ukupni troškovi u promatranom razdoblju iznose 1.002.847,78 eura te predstavljaju povećanje od 1,80 %, odnosno za 17.298,32 eura u odnosu na isto razdoblje prethodne godine. Povećanje ukupnih troškova prvenstveno je rezultat viših izdataka za materijal i sirovine, što je povezano s rastom nabavnih cijena na tržištu. Istodobno, evidentirano je smanjenje troškova materijala za tekuće i investicijsko održavanje te troškova energije, čime je djelomično ublažen ukupni rast ove skupine rashoda. U strukturi troškova energije zabilježeno je povećanje troškova električne energije, dok su troškovi plina smanjeni uslijed prelaska na sustav grijanja putem dizalica topline. Navedena promjena energenta rezultirala je učinkovitijim korištenjem energije i smanjenjem troškova grijanja za 13,86 % u odnosu na prethodno razdoblje.</w:t>
      </w:r>
    </w:p>
    <w:p w:rsidR="00F83447" w:rsidRDefault="00F83447"/>
    <w:p w:rsidR="00F83447" w:rsidRDefault="0028555D">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323</w:t>
            </w:r>
          </w:p>
        </w:tc>
        <w:tc>
          <w:tcPr>
            <w:tcW w:w="3180" w:type="dxa"/>
            <w:tcMar>
              <w:top w:w="0" w:type="dxa"/>
              <w:bottom w:w="0" w:type="dxa"/>
            </w:tcMar>
            <w:vAlign w:val="center"/>
          </w:tcPr>
          <w:p w:rsidR="00F83447" w:rsidRDefault="0028555D">
            <w:pPr>
              <w:keepNext/>
              <w:keepLines/>
              <w:spacing w:after="0" w:line="240" w:lineRule="auto"/>
            </w:pPr>
            <w:r>
              <w:rPr>
                <w:sz w:val="18"/>
              </w:rPr>
              <w:t>Rashodi za usluge (šifre 3231 do 3239)</w:t>
            </w:r>
          </w:p>
        </w:tc>
        <w:tc>
          <w:tcPr>
            <w:tcW w:w="700" w:type="dxa"/>
            <w:tcMar>
              <w:top w:w="0" w:type="dxa"/>
              <w:bottom w:w="0" w:type="dxa"/>
            </w:tcMar>
            <w:vAlign w:val="center"/>
          </w:tcPr>
          <w:p w:rsidR="00F83447" w:rsidRDefault="0028555D">
            <w:pPr>
              <w:keepNext/>
              <w:keepLines/>
              <w:spacing w:after="0" w:line="240" w:lineRule="auto"/>
            </w:pPr>
            <w:r>
              <w:rPr>
                <w:sz w:val="18"/>
              </w:rPr>
              <w:t>323</w:t>
            </w:r>
          </w:p>
        </w:tc>
        <w:tc>
          <w:tcPr>
            <w:tcW w:w="1860" w:type="dxa"/>
            <w:tcMar>
              <w:top w:w="0" w:type="dxa"/>
              <w:bottom w:w="0" w:type="dxa"/>
            </w:tcMar>
            <w:vAlign w:val="center"/>
          </w:tcPr>
          <w:p w:rsidR="00F83447" w:rsidRDefault="0028555D">
            <w:pPr>
              <w:keepNext/>
              <w:keepLines/>
              <w:spacing w:after="0" w:line="240" w:lineRule="auto"/>
              <w:jc w:val="right"/>
            </w:pPr>
            <w:r>
              <w:rPr>
                <w:sz w:val="18"/>
              </w:rPr>
              <w:t>919.483,80</w:t>
            </w:r>
          </w:p>
        </w:tc>
        <w:tc>
          <w:tcPr>
            <w:tcW w:w="1860" w:type="dxa"/>
            <w:tcMar>
              <w:top w:w="0" w:type="dxa"/>
              <w:bottom w:w="0" w:type="dxa"/>
            </w:tcMar>
            <w:vAlign w:val="center"/>
          </w:tcPr>
          <w:p w:rsidR="00F83447" w:rsidRDefault="0028555D">
            <w:pPr>
              <w:keepNext/>
              <w:keepLines/>
              <w:spacing w:after="0" w:line="240" w:lineRule="auto"/>
              <w:jc w:val="right"/>
            </w:pPr>
            <w:r>
              <w:rPr>
                <w:sz w:val="18"/>
              </w:rPr>
              <w:t>1.137.472,82</w:t>
            </w:r>
          </w:p>
        </w:tc>
        <w:tc>
          <w:tcPr>
            <w:tcW w:w="700" w:type="dxa"/>
            <w:tcMar>
              <w:top w:w="0" w:type="dxa"/>
              <w:bottom w:w="0" w:type="dxa"/>
            </w:tcMar>
            <w:vAlign w:val="center"/>
          </w:tcPr>
          <w:p w:rsidR="00F83447" w:rsidRDefault="0028555D">
            <w:pPr>
              <w:keepNext/>
              <w:keepLines/>
              <w:spacing w:after="0" w:line="240" w:lineRule="auto"/>
              <w:jc w:val="right"/>
            </w:pPr>
            <w:r>
              <w:rPr>
                <w:sz w:val="18"/>
              </w:rPr>
              <w:t>123,7</w:t>
            </w:r>
          </w:p>
        </w:tc>
      </w:tr>
    </w:tbl>
    <w:p w:rsidR="00F83447" w:rsidRDefault="00F83447">
      <w:pPr>
        <w:spacing w:after="0"/>
      </w:pPr>
    </w:p>
    <w:p w:rsidR="00F83447" w:rsidRDefault="0028555D" w:rsidP="00EE6A0C">
      <w:pPr>
        <w:jc w:val="both"/>
      </w:pPr>
      <w:r>
        <w:t>Rashodi za usluge u promatranom razdoblju iznose 1.137.472,82 eura te predstavljaju povećanje od 23,70 %, odnosno za 217.989,02 eura u odnosu na isto razdoblje prethodne godine. Povećanje rashoda najvećim se dijelom odnosi na usluge tekućeg i investicijskog održavanja, zakupnine i najamnine, računalne usluge, usluge promidžbe i informiranja, komunalne usluge te usluge telefona, interneta, pošte i prijevoza. Najznačajnije povećanje evidentirano je kod usluga tekućeg i investicijskog održavanja, što je posljedica većeg opsega realiziranih aktivnosti u odnosu na prethodno razdoblje, tijekom kojeg su zbog provođenja projekta „Unapređenje kvalitete smještaja i sadržaja hotela Minerva“ realizirana isključivo nužna ulaganja i intervencije. Značajan rast zabilježen je i kod troškova zakupnina i najamnina, koji se najvećim dijelom odnose na najam poslovnog prostora u Medicinskoj školi Varaždin za pripremu i distribuciju obroka učenicima i drugim zainteresiranim korisnicima te na najam skladišnog prostora za privremeni smještaj opreme iz objekta Minerva, koji je zbog izvođenja opsežnih radova morao biti ispražnjen. Istodobno, smanjenje rashoda evidentirano je kod zdravstvenih i veterinarskih usluga te dijela intelektualnih i ostalih usluga, što je djelomično ublažilo ukupno povećanje rashoda za usluge.</w:t>
      </w:r>
    </w:p>
    <w:p w:rsidR="00F83447" w:rsidRDefault="00F83447"/>
    <w:p w:rsidR="00F83447" w:rsidRDefault="0028555D">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325</w:t>
            </w:r>
          </w:p>
        </w:tc>
        <w:tc>
          <w:tcPr>
            <w:tcW w:w="3180" w:type="dxa"/>
            <w:tcMar>
              <w:top w:w="0" w:type="dxa"/>
              <w:bottom w:w="0" w:type="dxa"/>
            </w:tcMar>
            <w:vAlign w:val="center"/>
          </w:tcPr>
          <w:p w:rsidR="00F83447" w:rsidRDefault="0028555D">
            <w:pPr>
              <w:keepNext/>
              <w:keepLines/>
              <w:spacing w:after="0" w:line="240" w:lineRule="auto"/>
            </w:pPr>
            <w:r>
              <w:rPr>
                <w:sz w:val="18"/>
              </w:rPr>
              <w:t>Rashodi lijekova i potrošnog medicinskog materijala kod zdravstvenih ustanova (šifre 3251 do 3254)</w:t>
            </w:r>
          </w:p>
        </w:tc>
        <w:tc>
          <w:tcPr>
            <w:tcW w:w="700" w:type="dxa"/>
            <w:tcMar>
              <w:top w:w="0" w:type="dxa"/>
              <w:bottom w:w="0" w:type="dxa"/>
            </w:tcMar>
            <w:vAlign w:val="center"/>
          </w:tcPr>
          <w:p w:rsidR="00F83447" w:rsidRDefault="0028555D">
            <w:pPr>
              <w:keepNext/>
              <w:keepLines/>
              <w:spacing w:after="0" w:line="240" w:lineRule="auto"/>
            </w:pPr>
            <w:r>
              <w:rPr>
                <w:sz w:val="18"/>
              </w:rPr>
              <w:t>325</w:t>
            </w:r>
          </w:p>
        </w:tc>
        <w:tc>
          <w:tcPr>
            <w:tcW w:w="1860" w:type="dxa"/>
            <w:tcMar>
              <w:top w:w="0" w:type="dxa"/>
              <w:bottom w:w="0" w:type="dxa"/>
            </w:tcMar>
            <w:vAlign w:val="center"/>
          </w:tcPr>
          <w:p w:rsidR="00F83447" w:rsidRDefault="0028555D">
            <w:pPr>
              <w:keepNext/>
              <w:keepLines/>
              <w:spacing w:after="0" w:line="240" w:lineRule="auto"/>
              <w:jc w:val="right"/>
            </w:pPr>
            <w:r>
              <w:rPr>
                <w:sz w:val="18"/>
              </w:rPr>
              <w:t>255.621,25</w:t>
            </w:r>
          </w:p>
        </w:tc>
        <w:tc>
          <w:tcPr>
            <w:tcW w:w="1860" w:type="dxa"/>
            <w:tcMar>
              <w:top w:w="0" w:type="dxa"/>
              <w:bottom w:w="0" w:type="dxa"/>
            </w:tcMar>
            <w:vAlign w:val="center"/>
          </w:tcPr>
          <w:p w:rsidR="00F83447" w:rsidRDefault="0028555D">
            <w:pPr>
              <w:keepNext/>
              <w:keepLines/>
              <w:spacing w:after="0" w:line="240" w:lineRule="auto"/>
              <w:jc w:val="right"/>
            </w:pPr>
            <w:r>
              <w:rPr>
                <w:sz w:val="18"/>
              </w:rPr>
              <w:t>301.573,97</w:t>
            </w:r>
          </w:p>
        </w:tc>
        <w:tc>
          <w:tcPr>
            <w:tcW w:w="700" w:type="dxa"/>
            <w:tcMar>
              <w:top w:w="0" w:type="dxa"/>
              <w:bottom w:w="0" w:type="dxa"/>
            </w:tcMar>
            <w:vAlign w:val="center"/>
          </w:tcPr>
          <w:p w:rsidR="00F83447" w:rsidRDefault="0028555D">
            <w:pPr>
              <w:keepNext/>
              <w:keepLines/>
              <w:spacing w:after="0" w:line="240" w:lineRule="auto"/>
              <w:jc w:val="right"/>
            </w:pPr>
            <w:r>
              <w:rPr>
                <w:sz w:val="18"/>
              </w:rPr>
              <w:t>118,0</w:t>
            </w:r>
          </w:p>
        </w:tc>
      </w:tr>
    </w:tbl>
    <w:p w:rsidR="00F83447" w:rsidRDefault="00F83447">
      <w:pPr>
        <w:spacing w:after="0"/>
      </w:pPr>
    </w:p>
    <w:p w:rsidR="00F83447" w:rsidRDefault="0028555D" w:rsidP="00EE6A0C">
      <w:pPr>
        <w:jc w:val="both"/>
      </w:pPr>
      <w:r>
        <w:t>Ukupni troškovi za lijekove i potrošni medicinski materijal u poslovnoj 2026. godini iznose 301.573,97 eura, što je povećanje za 18,00%, odnosno za 45.952,72 eura u odnosu na isto razdoblje prethodne godine.</w:t>
      </w:r>
    </w:p>
    <w:p w:rsidR="00F83447" w:rsidRDefault="0028555D" w:rsidP="00EE6A0C">
      <w:pPr>
        <w:jc w:val="both"/>
      </w:pPr>
      <w:r>
        <w:t xml:space="preserve">Ovaj rast prvenstveno se može pripisati promjenama u strukturi korisnika koje bolnica zbrinjava. Naime, različita dijagnostička i terapijska </w:t>
      </w:r>
      <w:proofErr w:type="spellStart"/>
      <w:r>
        <w:t>profilacija</w:t>
      </w:r>
      <w:proofErr w:type="spellEnd"/>
      <w:r>
        <w:t xml:space="preserve"> pacijenata može uvjetovati povećanu potrošnju određenih vrsta lijekova i medicinskog materijala, neovisno o ukupnom broju korisnika.</w:t>
      </w:r>
    </w:p>
    <w:p w:rsidR="00F83447" w:rsidRDefault="00F83447"/>
    <w:p w:rsidR="00F83447" w:rsidRDefault="0028555D">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329</w:t>
            </w:r>
          </w:p>
        </w:tc>
        <w:tc>
          <w:tcPr>
            <w:tcW w:w="3180" w:type="dxa"/>
            <w:tcMar>
              <w:top w:w="0" w:type="dxa"/>
              <w:bottom w:w="0" w:type="dxa"/>
            </w:tcMar>
            <w:vAlign w:val="center"/>
          </w:tcPr>
          <w:p w:rsidR="00F83447" w:rsidRDefault="0028555D">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F83447" w:rsidRDefault="0028555D">
            <w:pPr>
              <w:keepNext/>
              <w:keepLines/>
              <w:spacing w:after="0" w:line="240" w:lineRule="auto"/>
            </w:pPr>
            <w:r>
              <w:rPr>
                <w:sz w:val="18"/>
              </w:rPr>
              <w:t>329</w:t>
            </w:r>
          </w:p>
        </w:tc>
        <w:tc>
          <w:tcPr>
            <w:tcW w:w="1860" w:type="dxa"/>
            <w:tcMar>
              <w:top w:w="0" w:type="dxa"/>
              <w:bottom w:w="0" w:type="dxa"/>
            </w:tcMar>
            <w:vAlign w:val="center"/>
          </w:tcPr>
          <w:p w:rsidR="00F83447" w:rsidRDefault="0028555D">
            <w:pPr>
              <w:keepNext/>
              <w:keepLines/>
              <w:spacing w:after="0" w:line="240" w:lineRule="auto"/>
              <w:jc w:val="right"/>
            </w:pPr>
            <w:r>
              <w:rPr>
                <w:sz w:val="18"/>
              </w:rPr>
              <w:t>133.578,45</w:t>
            </w:r>
          </w:p>
        </w:tc>
        <w:tc>
          <w:tcPr>
            <w:tcW w:w="1860" w:type="dxa"/>
            <w:tcMar>
              <w:top w:w="0" w:type="dxa"/>
              <w:bottom w:w="0" w:type="dxa"/>
            </w:tcMar>
            <w:vAlign w:val="center"/>
          </w:tcPr>
          <w:p w:rsidR="00F83447" w:rsidRDefault="0028555D">
            <w:pPr>
              <w:keepNext/>
              <w:keepLines/>
              <w:spacing w:after="0" w:line="240" w:lineRule="auto"/>
              <w:jc w:val="right"/>
            </w:pPr>
            <w:r>
              <w:rPr>
                <w:sz w:val="18"/>
              </w:rPr>
              <w:t>150.561,22</w:t>
            </w:r>
          </w:p>
        </w:tc>
        <w:tc>
          <w:tcPr>
            <w:tcW w:w="700" w:type="dxa"/>
            <w:tcMar>
              <w:top w:w="0" w:type="dxa"/>
              <w:bottom w:w="0" w:type="dxa"/>
            </w:tcMar>
            <w:vAlign w:val="center"/>
          </w:tcPr>
          <w:p w:rsidR="00F83447" w:rsidRDefault="0028555D">
            <w:pPr>
              <w:keepNext/>
              <w:keepLines/>
              <w:spacing w:after="0" w:line="240" w:lineRule="auto"/>
              <w:jc w:val="right"/>
            </w:pPr>
            <w:r>
              <w:rPr>
                <w:sz w:val="18"/>
              </w:rPr>
              <w:t>112,7</w:t>
            </w:r>
          </w:p>
        </w:tc>
      </w:tr>
    </w:tbl>
    <w:p w:rsidR="00F83447" w:rsidRDefault="00F83447">
      <w:pPr>
        <w:spacing w:after="0"/>
      </w:pPr>
    </w:p>
    <w:p w:rsidR="00F83447" w:rsidRDefault="0028555D" w:rsidP="00EE6A0C">
      <w:pPr>
        <w:jc w:val="both"/>
      </w:pPr>
      <w:r>
        <w:t>Ukupni troškovi u ovoj kategoriji bilježe povećanje od 12,70 %, odnosno za 16.982,77 eura u odnosu na isto razdoblje prethodne godine.</w:t>
      </w:r>
    </w:p>
    <w:p w:rsidR="00F83447" w:rsidRDefault="0028555D" w:rsidP="00EE6A0C">
      <w:pPr>
        <w:jc w:val="both"/>
      </w:pPr>
      <w:r>
        <w:t xml:space="preserve">Povećanje je evidentirano na naknadama za rad predstavničkih i izvršnih tijela, povjerenstva i slično koji bilježe povećanje od 148,70% temeljem nove Odluke o utvrđivanju naknade za rad predsjednika i članova Upravnog vijeća s primjenom od 1. veljače 2026. godine kojom je povećan neto iznos naknade na 265,00 eura za predsjednika te 225,00 eura za člana, premijama osiguranja koje bilježe povećanje od 132,10% koje su povećane nakon provedenog novog postupka javne nabave, troškovima reprezentacije koji su veći za 49,80%, troškovima pristojbi i naknadi koje su povećane za 36,00% prvenstveno zbog naknada za nezapošljavanje osoba s invaliditetom. S druge strane, smanjenje je evidentirano na ostalim nespomenutim rashodima poslovanja koji su manji za 24,30%. Navedeno smanjenje se odnosi na naknade za korištenje voda te provizije </w:t>
      </w:r>
      <w:proofErr w:type="spellStart"/>
      <w:r>
        <w:t>kartičarskim</w:t>
      </w:r>
      <w:proofErr w:type="spellEnd"/>
      <w:r>
        <w:t xml:space="preserve"> kućama, što je izravno povezano sa zatvaranjem objekta Minerva, uslijed čega je značajno smanjen promet i naplata usluga.</w:t>
      </w:r>
    </w:p>
    <w:p w:rsidR="00F83447" w:rsidRDefault="00F83447"/>
    <w:p w:rsidR="00F83447" w:rsidRDefault="0028555D">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342</w:t>
            </w:r>
          </w:p>
        </w:tc>
        <w:tc>
          <w:tcPr>
            <w:tcW w:w="3180" w:type="dxa"/>
            <w:tcMar>
              <w:top w:w="0" w:type="dxa"/>
              <w:bottom w:w="0" w:type="dxa"/>
            </w:tcMar>
            <w:vAlign w:val="center"/>
          </w:tcPr>
          <w:p w:rsidR="00F83447" w:rsidRDefault="0028555D">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rsidR="00F83447" w:rsidRDefault="0028555D">
            <w:pPr>
              <w:keepNext/>
              <w:keepLines/>
              <w:spacing w:after="0" w:line="240" w:lineRule="auto"/>
            </w:pPr>
            <w:r>
              <w:rPr>
                <w:sz w:val="18"/>
              </w:rPr>
              <w:t>342</w:t>
            </w:r>
          </w:p>
        </w:tc>
        <w:tc>
          <w:tcPr>
            <w:tcW w:w="1860" w:type="dxa"/>
            <w:tcMar>
              <w:top w:w="0" w:type="dxa"/>
              <w:bottom w:w="0" w:type="dxa"/>
            </w:tcMar>
            <w:vAlign w:val="center"/>
          </w:tcPr>
          <w:p w:rsidR="00F83447" w:rsidRDefault="0028555D">
            <w:pPr>
              <w:keepNext/>
              <w:keepLines/>
              <w:spacing w:after="0" w:line="240" w:lineRule="auto"/>
              <w:jc w:val="right"/>
            </w:pPr>
            <w:r>
              <w:rPr>
                <w:sz w:val="18"/>
              </w:rPr>
              <w:t>47.142,73</w:t>
            </w:r>
          </w:p>
        </w:tc>
        <w:tc>
          <w:tcPr>
            <w:tcW w:w="1860" w:type="dxa"/>
            <w:tcMar>
              <w:top w:w="0" w:type="dxa"/>
              <w:bottom w:w="0" w:type="dxa"/>
            </w:tcMar>
            <w:vAlign w:val="center"/>
          </w:tcPr>
          <w:p w:rsidR="00F83447" w:rsidRDefault="0028555D">
            <w:pPr>
              <w:keepNext/>
              <w:keepLines/>
              <w:spacing w:after="0" w:line="240" w:lineRule="auto"/>
              <w:jc w:val="right"/>
            </w:pPr>
            <w:r>
              <w:rPr>
                <w:sz w:val="18"/>
              </w:rPr>
              <w:t>59.707,01</w:t>
            </w:r>
          </w:p>
        </w:tc>
        <w:tc>
          <w:tcPr>
            <w:tcW w:w="700" w:type="dxa"/>
            <w:tcMar>
              <w:top w:w="0" w:type="dxa"/>
              <w:bottom w:w="0" w:type="dxa"/>
            </w:tcMar>
            <w:vAlign w:val="center"/>
          </w:tcPr>
          <w:p w:rsidR="00F83447" w:rsidRDefault="0028555D">
            <w:pPr>
              <w:keepNext/>
              <w:keepLines/>
              <w:spacing w:after="0" w:line="240" w:lineRule="auto"/>
              <w:jc w:val="right"/>
            </w:pPr>
            <w:r>
              <w:rPr>
                <w:sz w:val="18"/>
              </w:rPr>
              <w:t>126,7</w:t>
            </w:r>
          </w:p>
        </w:tc>
      </w:tr>
    </w:tbl>
    <w:p w:rsidR="00F83447" w:rsidRDefault="00F83447">
      <w:pPr>
        <w:spacing w:after="0"/>
      </w:pPr>
    </w:p>
    <w:p w:rsidR="00F83447" w:rsidRDefault="0028555D" w:rsidP="00EE6A0C">
      <w:pPr>
        <w:jc w:val="both"/>
      </w:pPr>
      <w:r>
        <w:t xml:space="preserve">Ukupni troškovi u promatranom razdoblju iznose 59.707,01 eura te predstavljaju povećanje od 26,70 %, odnosno za 12.564,28 eura u odnosu na isto razdoblje prethodne godine. Troškovi se odnose na redovne kamate po okvirnom </w:t>
      </w:r>
      <w:proofErr w:type="spellStart"/>
      <w:r>
        <w:t>cash</w:t>
      </w:r>
      <w:proofErr w:type="spellEnd"/>
      <w:r>
        <w:t xml:space="preserve"> </w:t>
      </w:r>
      <w:proofErr w:type="spellStart"/>
      <w:r>
        <w:t>pool</w:t>
      </w:r>
      <w:proofErr w:type="spellEnd"/>
      <w:r>
        <w:t xml:space="preserve"> kreditu te kamate po investicijskim kreditima Zagrebačke banke i Hrvatske banke za obnovu i razvitak (HBOR). U promatranom razdoblju evidentirano je smanjenje troškova kamata po kreditima HBOR-a, uz istodobno povećanje troškova kamata po kreditima Zagrebačke banke. Povećanje troškova kamata po kreditima Zagrebačke banke prvenstveno je posljedica korištenja dugoročnog kredita namijenjenog financiranju projekta „Unapređenje kvalitete smještaja i sadržaja hotela Minerva“, temeljem kojeg su u promatranom razdoblju počele dospijevati </w:t>
      </w:r>
      <w:proofErr w:type="spellStart"/>
      <w:r>
        <w:t>interkalarne</w:t>
      </w:r>
      <w:proofErr w:type="spellEnd"/>
      <w:r>
        <w:t xml:space="preserve"> kamate. Dodatno povećanje proizlazi iz većeg korištenja okvirnog kratkoročnog </w:t>
      </w:r>
      <w:proofErr w:type="spellStart"/>
      <w:r>
        <w:t>cash</w:t>
      </w:r>
      <w:proofErr w:type="spellEnd"/>
      <w:r>
        <w:t xml:space="preserve"> </w:t>
      </w:r>
      <w:proofErr w:type="spellStart"/>
      <w:r>
        <w:t>pool</w:t>
      </w:r>
      <w:proofErr w:type="spellEnd"/>
      <w:r>
        <w:t xml:space="preserve"> kredita u odnosu na prethodno razdoblje, što je rezultiralo većim troškovima kamata po navedenoj osnovi.</w:t>
      </w:r>
    </w:p>
    <w:p w:rsidR="00F83447" w:rsidRDefault="0028555D" w:rsidP="00EE6A0C">
      <w:pPr>
        <w:jc w:val="both"/>
      </w:pPr>
      <w:r>
        <w:t>Dio troškova kamata po investicijskim kreditima (HBOR i ZABA) financira se iz sredstava za decentralizirane funkcije, sukladno odobrenim izvorima financiranja, čime se osigurava pokriće dijela troškova financiranja investicijskih ulaganja i redovnog poslovanja ustanove.</w:t>
      </w:r>
    </w:p>
    <w:p w:rsidR="00F83447" w:rsidRDefault="00F83447"/>
    <w:p w:rsidR="00F83447" w:rsidRDefault="0028555D">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343</w:t>
            </w:r>
          </w:p>
        </w:tc>
        <w:tc>
          <w:tcPr>
            <w:tcW w:w="3180" w:type="dxa"/>
            <w:tcMar>
              <w:top w:w="0" w:type="dxa"/>
              <w:bottom w:w="0" w:type="dxa"/>
            </w:tcMar>
            <w:vAlign w:val="center"/>
          </w:tcPr>
          <w:p w:rsidR="00F83447" w:rsidRDefault="0028555D">
            <w:pPr>
              <w:keepNext/>
              <w:keepLines/>
              <w:spacing w:after="0" w:line="240" w:lineRule="auto"/>
            </w:pPr>
            <w:r>
              <w:rPr>
                <w:sz w:val="18"/>
              </w:rPr>
              <w:t>Ostali financijski rashodi (šifre 3431 do 3434)</w:t>
            </w:r>
          </w:p>
        </w:tc>
        <w:tc>
          <w:tcPr>
            <w:tcW w:w="700" w:type="dxa"/>
            <w:tcMar>
              <w:top w:w="0" w:type="dxa"/>
              <w:bottom w:w="0" w:type="dxa"/>
            </w:tcMar>
            <w:vAlign w:val="center"/>
          </w:tcPr>
          <w:p w:rsidR="00F83447" w:rsidRDefault="0028555D">
            <w:pPr>
              <w:keepNext/>
              <w:keepLines/>
              <w:spacing w:after="0" w:line="240" w:lineRule="auto"/>
            </w:pPr>
            <w:r>
              <w:rPr>
                <w:sz w:val="18"/>
              </w:rPr>
              <w:t>343</w:t>
            </w:r>
          </w:p>
        </w:tc>
        <w:tc>
          <w:tcPr>
            <w:tcW w:w="1860" w:type="dxa"/>
            <w:tcMar>
              <w:top w:w="0" w:type="dxa"/>
              <w:bottom w:w="0" w:type="dxa"/>
            </w:tcMar>
            <w:vAlign w:val="center"/>
          </w:tcPr>
          <w:p w:rsidR="00F83447" w:rsidRDefault="0028555D">
            <w:pPr>
              <w:keepNext/>
              <w:keepLines/>
              <w:spacing w:after="0" w:line="240" w:lineRule="auto"/>
              <w:jc w:val="right"/>
            </w:pPr>
            <w:r>
              <w:rPr>
                <w:sz w:val="18"/>
              </w:rPr>
              <w:t>20.435,73</w:t>
            </w:r>
          </w:p>
        </w:tc>
        <w:tc>
          <w:tcPr>
            <w:tcW w:w="1860" w:type="dxa"/>
            <w:tcMar>
              <w:top w:w="0" w:type="dxa"/>
              <w:bottom w:w="0" w:type="dxa"/>
            </w:tcMar>
            <w:vAlign w:val="center"/>
          </w:tcPr>
          <w:p w:rsidR="00F83447" w:rsidRDefault="0028555D">
            <w:pPr>
              <w:keepNext/>
              <w:keepLines/>
              <w:spacing w:after="0" w:line="240" w:lineRule="auto"/>
              <w:jc w:val="right"/>
            </w:pPr>
            <w:r>
              <w:rPr>
                <w:sz w:val="18"/>
              </w:rPr>
              <w:t>15.764,16</w:t>
            </w:r>
          </w:p>
        </w:tc>
        <w:tc>
          <w:tcPr>
            <w:tcW w:w="700" w:type="dxa"/>
            <w:tcMar>
              <w:top w:w="0" w:type="dxa"/>
              <w:bottom w:w="0" w:type="dxa"/>
            </w:tcMar>
            <w:vAlign w:val="center"/>
          </w:tcPr>
          <w:p w:rsidR="00F83447" w:rsidRDefault="0028555D">
            <w:pPr>
              <w:keepNext/>
              <w:keepLines/>
              <w:spacing w:after="0" w:line="240" w:lineRule="auto"/>
              <w:jc w:val="right"/>
            </w:pPr>
            <w:r>
              <w:rPr>
                <w:sz w:val="18"/>
              </w:rPr>
              <w:t>77,1</w:t>
            </w:r>
          </w:p>
        </w:tc>
      </w:tr>
    </w:tbl>
    <w:p w:rsidR="00F83447" w:rsidRDefault="00F83447">
      <w:pPr>
        <w:spacing w:after="0"/>
      </w:pPr>
    </w:p>
    <w:p w:rsidR="00F83447" w:rsidRDefault="0028555D" w:rsidP="00EE6A0C">
      <w:pPr>
        <w:jc w:val="both"/>
      </w:pPr>
      <w:r>
        <w:t>Ostali financijski rashodi u promatranom razdoblju iznose 15.764,16 eura te bilježe smanjenje od 22,90 %, odnosno za 4.671,57 eura u odnosu na isto razdoblje prethodne godine. Smanjenje ostalih financijskih rashoda prvenstveno je rezultat nižih troškova zateznih kamata, koji su smanjeni za 20,50 %, kao i smanjenja troškova bankarskih usluga i usluga platnog prometa. Unatoč ukupnom smanjenju ove skupine rashoda, u promatranom razdoblju evidentirani su troškovi zateznih kamata po osnovi poreza na dodanu vrijednost, nastali zbog zakašnjelog podmirenja obveze PDV-a po privremenoj situaciji za radove na projektu „Unapređenje kvalitete smještaja i sadržaja hotela Minerva“. Do kašnjenja u podmirenju obveze došlo je uslijed produljenog trajanja kontrolnih postupaka od strane nadležnih tijela.</w:t>
      </w:r>
    </w:p>
    <w:p w:rsidR="00F83447" w:rsidRDefault="00F83447"/>
    <w:p w:rsidR="00F83447" w:rsidRDefault="0028555D">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372</w:t>
            </w:r>
          </w:p>
        </w:tc>
        <w:tc>
          <w:tcPr>
            <w:tcW w:w="3180" w:type="dxa"/>
            <w:tcMar>
              <w:top w:w="0" w:type="dxa"/>
              <w:bottom w:w="0" w:type="dxa"/>
            </w:tcMar>
            <w:vAlign w:val="center"/>
          </w:tcPr>
          <w:p w:rsidR="00F83447" w:rsidRDefault="0028555D">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rsidR="00F83447" w:rsidRDefault="0028555D">
            <w:pPr>
              <w:keepNext/>
              <w:keepLines/>
              <w:spacing w:after="0" w:line="240" w:lineRule="auto"/>
            </w:pPr>
            <w:r>
              <w:rPr>
                <w:sz w:val="18"/>
              </w:rPr>
              <w:t>372</w:t>
            </w:r>
          </w:p>
        </w:tc>
        <w:tc>
          <w:tcPr>
            <w:tcW w:w="1860" w:type="dxa"/>
            <w:tcMar>
              <w:top w:w="0" w:type="dxa"/>
              <w:bottom w:w="0" w:type="dxa"/>
            </w:tcMar>
            <w:vAlign w:val="center"/>
          </w:tcPr>
          <w:p w:rsidR="00F83447" w:rsidRDefault="0028555D">
            <w:pPr>
              <w:keepNext/>
              <w:keepLines/>
              <w:spacing w:after="0" w:line="240" w:lineRule="auto"/>
              <w:jc w:val="right"/>
            </w:pPr>
            <w:r>
              <w:rPr>
                <w:sz w:val="18"/>
              </w:rPr>
              <w:t>1.672,38</w:t>
            </w:r>
          </w:p>
        </w:tc>
        <w:tc>
          <w:tcPr>
            <w:tcW w:w="1860" w:type="dxa"/>
            <w:tcMar>
              <w:top w:w="0" w:type="dxa"/>
              <w:bottom w:w="0" w:type="dxa"/>
            </w:tcMar>
            <w:vAlign w:val="center"/>
          </w:tcPr>
          <w:p w:rsidR="00F83447" w:rsidRDefault="0028555D">
            <w:pPr>
              <w:keepNext/>
              <w:keepLines/>
              <w:spacing w:after="0" w:line="240" w:lineRule="auto"/>
              <w:jc w:val="right"/>
            </w:pPr>
            <w:r>
              <w:rPr>
                <w:sz w:val="18"/>
              </w:rPr>
              <w:t>1.114,92</w:t>
            </w:r>
          </w:p>
        </w:tc>
        <w:tc>
          <w:tcPr>
            <w:tcW w:w="700" w:type="dxa"/>
            <w:tcMar>
              <w:top w:w="0" w:type="dxa"/>
              <w:bottom w:w="0" w:type="dxa"/>
            </w:tcMar>
            <w:vAlign w:val="center"/>
          </w:tcPr>
          <w:p w:rsidR="00F83447" w:rsidRDefault="0028555D">
            <w:pPr>
              <w:keepNext/>
              <w:keepLines/>
              <w:spacing w:after="0" w:line="240" w:lineRule="auto"/>
              <w:jc w:val="right"/>
            </w:pPr>
            <w:r>
              <w:rPr>
                <w:sz w:val="18"/>
              </w:rPr>
              <w:t>66,7</w:t>
            </w:r>
          </w:p>
        </w:tc>
      </w:tr>
    </w:tbl>
    <w:p w:rsidR="00F83447" w:rsidRDefault="00F83447">
      <w:pPr>
        <w:spacing w:after="0"/>
      </w:pPr>
    </w:p>
    <w:p w:rsidR="00F83447" w:rsidRDefault="0028555D" w:rsidP="00EE6A0C">
      <w:pPr>
        <w:jc w:val="both"/>
      </w:pPr>
      <w:r>
        <w:t>Ostale naknade građanima i kućanstvima iz proračuna u promatranom razdoblju iznose 1.114,92 eura te bilježe smanjenje od 33,30 %, odnosno za 557,46 eura u odnosu na isto razdoblje prethodne godine. Navedeni troškovi odnose se na isplatu stipendija djeci preminulih radnika. U promatranom razdoblju pravo na stipendiju ostvaruje jedno dijete, dok je u istom razdoblju prethodne godine navedeno pravo ostvarivalo troje djece, što je rezultiralo smanjenjem ukupno iskazanih rashoda po ovoj osnovi.</w:t>
      </w:r>
    </w:p>
    <w:p w:rsidR="00F83447" w:rsidRDefault="00F83447"/>
    <w:p w:rsidR="00F83447" w:rsidRDefault="0028555D">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9661</w:t>
            </w:r>
          </w:p>
        </w:tc>
        <w:tc>
          <w:tcPr>
            <w:tcW w:w="3180" w:type="dxa"/>
            <w:tcMar>
              <w:top w:w="0" w:type="dxa"/>
              <w:bottom w:w="0" w:type="dxa"/>
            </w:tcMar>
            <w:vAlign w:val="center"/>
          </w:tcPr>
          <w:p w:rsidR="00F83447" w:rsidRDefault="0028555D">
            <w:pPr>
              <w:keepNext/>
              <w:keepLines/>
              <w:spacing w:after="0" w:line="240" w:lineRule="auto"/>
            </w:pPr>
            <w:r>
              <w:rPr>
                <w:sz w:val="18"/>
              </w:rPr>
              <w:t>Prihodi od prodaje proizvoda i robe i pruženih usluga - nenaplaćeni</w:t>
            </w:r>
          </w:p>
        </w:tc>
        <w:tc>
          <w:tcPr>
            <w:tcW w:w="700" w:type="dxa"/>
            <w:tcMar>
              <w:top w:w="0" w:type="dxa"/>
              <w:bottom w:w="0" w:type="dxa"/>
            </w:tcMar>
            <w:vAlign w:val="center"/>
          </w:tcPr>
          <w:p w:rsidR="00F83447" w:rsidRDefault="0028555D">
            <w:pPr>
              <w:keepNext/>
              <w:keepLines/>
              <w:spacing w:after="0" w:line="240" w:lineRule="auto"/>
            </w:pPr>
            <w:r>
              <w:rPr>
                <w:sz w:val="18"/>
              </w:rPr>
              <w:t>9661</w:t>
            </w:r>
          </w:p>
        </w:tc>
        <w:tc>
          <w:tcPr>
            <w:tcW w:w="1860" w:type="dxa"/>
            <w:tcMar>
              <w:top w:w="0" w:type="dxa"/>
              <w:bottom w:w="0" w:type="dxa"/>
            </w:tcMar>
            <w:vAlign w:val="center"/>
          </w:tcPr>
          <w:p w:rsidR="00F83447" w:rsidRDefault="0028555D">
            <w:pPr>
              <w:keepNext/>
              <w:keepLines/>
              <w:spacing w:after="0" w:line="240" w:lineRule="auto"/>
              <w:jc w:val="right"/>
            </w:pPr>
            <w:r>
              <w:rPr>
                <w:sz w:val="18"/>
              </w:rPr>
              <w:t>402.836,08</w:t>
            </w:r>
          </w:p>
        </w:tc>
        <w:tc>
          <w:tcPr>
            <w:tcW w:w="1860" w:type="dxa"/>
            <w:tcMar>
              <w:top w:w="0" w:type="dxa"/>
              <w:bottom w:w="0" w:type="dxa"/>
            </w:tcMar>
            <w:vAlign w:val="center"/>
          </w:tcPr>
          <w:p w:rsidR="00F83447" w:rsidRDefault="0028555D">
            <w:pPr>
              <w:keepNext/>
              <w:keepLines/>
              <w:spacing w:after="0" w:line="240" w:lineRule="auto"/>
              <w:jc w:val="right"/>
            </w:pPr>
            <w:r>
              <w:rPr>
                <w:sz w:val="18"/>
              </w:rPr>
              <w:t>479.942,43</w:t>
            </w:r>
          </w:p>
        </w:tc>
        <w:tc>
          <w:tcPr>
            <w:tcW w:w="700" w:type="dxa"/>
            <w:tcMar>
              <w:top w:w="0" w:type="dxa"/>
              <w:bottom w:w="0" w:type="dxa"/>
            </w:tcMar>
            <w:vAlign w:val="center"/>
          </w:tcPr>
          <w:p w:rsidR="00F83447" w:rsidRDefault="0028555D">
            <w:pPr>
              <w:keepNext/>
              <w:keepLines/>
              <w:spacing w:after="0" w:line="240" w:lineRule="auto"/>
              <w:jc w:val="right"/>
            </w:pPr>
            <w:r>
              <w:rPr>
                <w:sz w:val="18"/>
              </w:rPr>
              <w:t>119,1</w:t>
            </w:r>
          </w:p>
        </w:tc>
      </w:tr>
    </w:tbl>
    <w:p w:rsidR="00F83447" w:rsidRDefault="00F83447">
      <w:pPr>
        <w:spacing w:after="0"/>
      </w:pPr>
    </w:p>
    <w:p w:rsidR="00F83447" w:rsidRDefault="0028555D" w:rsidP="00EE6A0C">
      <w:pPr>
        <w:jc w:val="both"/>
      </w:pPr>
      <w:r>
        <w:t xml:space="preserve">Prihodi od prodaje proizvoda i robe i pruženih usluga – nenaplaćeni u promatranom razdoblju iznose 479.942,43 eura te su veći za 19,13 %, odnosno za 77.106,35 eura u odnosu na isto razdoblje prethodne godine. Povećanje obračunatih prihoda prvenstveno je rezultat većeg opsega izdanih računa za pružene usluge, prodaju proizvoda i robe prema trgovačkim društvima, udrugama i fizičkim osobama, kod kojih se prihod evidentira po naplati. Izdani računi s odgodom plaćanja, plaćanjem putem transakcijskog računa ili kartičnim plaćanjem do trenutka naplate iskazuju se kao obračunati prihodi. Na visinu obračunatih prihoda utječe </w:t>
      </w:r>
      <w:r>
        <w:lastRenderedPageBreak/>
        <w:t xml:space="preserve">dinamika izdavanja računa i njihova naplata, pri čemu će se navedeni iznosi po podmirenju obveza evidentirati kao ostvareni prihodi. Ova situacija ukazuje na postojeće </w:t>
      </w:r>
      <w:proofErr w:type="spellStart"/>
      <w:r>
        <w:t>nesrazmjere</w:t>
      </w:r>
      <w:proofErr w:type="spellEnd"/>
      <w:r>
        <w:t xml:space="preserve"> između obračunatih prihoda i stvarne naplate, pri čemu se naplata potraživanja očekuje u rokovima dospijeća, uključujući i naplatu utuženih potraživanja.</w:t>
      </w:r>
    </w:p>
    <w:p w:rsidR="00F83447" w:rsidRDefault="00F83447"/>
    <w:p w:rsidR="00F83447" w:rsidRDefault="0028555D">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9673</w:t>
            </w:r>
          </w:p>
        </w:tc>
        <w:tc>
          <w:tcPr>
            <w:tcW w:w="3180" w:type="dxa"/>
            <w:tcMar>
              <w:top w:w="0" w:type="dxa"/>
              <w:bottom w:w="0" w:type="dxa"/>
            </w:tcMar>
            <w:vAlign w:val="center"/>
          </w:tcPr>
          <w:p w:rsidR="00F83447" w:rsidRDefault="0028555D">
            <w:pPr>
              <w:keepNext/>
              <w:keepLines/>
              <w:spacing w:after="0" w:line="240" w:lineRule="auto"/>
            </w:pPr>
            <w:r>
              <w:rPr>
                <w:sz w:val="18"/>
              </w:rPr>
              <w:t>Obračunati prihodi od HZZO-a na temelju ugovornih obveza</w:t>
            </w:r>
          </w:p>
        </w:tc>
        <w:tc>
          <w:tcPr>
            <w:tcW w:w="700" w:type="dxa"/>
            <w:tcMar>
              <w:top w:w="0" w:type="dxa"/>
              <w:bottom w:w="0" w:type="dxa"/>
            </w:tcMar>
            <w:vAlign w:val="center"/>
          </w:tcPr>
          <w:p w:rsidR="00F83447" w:rsidRDefault="0028555D">
            <w:pPr>
              <w:keepNext/>
              <w:keepLines/>
              <w:spacing w:after="0" w:line="240" w:lineRule="auto"/>
            </w:pPr>
            <w:r>
              <w:rPr>
                <w:sz w:val="18"/>
              </w:rPr>
              <w:t>9673</w:t>
            </w:r>
          </w:p>
        </w:tc>
        <w:tc>
          <w:tcPr>
            <w:tcW w:w="1860" w:type="dxa"/>
            <w:tcMar>
              <w:top w:w="0" w:type="dxa"/>
              <w:bottom w:w="0" w:type="dxa"/>
            </w:tcMar>
            <w:vAlign w:val="center"/>
          </w:tcPr>
          <w:p w:rsidR="00F83447" w:rsidRDefault="0028555D">
            <w:pPr>
              <w:keepNext/>
              <w:keepLines/>
              <w:spacing w:after="0" w:line="240" w:lineRule="auto"/>
              <w:jc w:val="right"/>
            </w:pPr>
            <w:r>
              <w:rPr>
                <w:sz w:val="18"/>
              </w:rPr>
              <w:t>92.130,37</w:t>
            </w:r>
          </w:p>
        </w:tc>
        <w:tc>
          <w:tcPr>
            <w:tcW w:w="1860" w:type="dxa"/>
            <w:tcMar>
              <w:top w:w="0" w:type="dxa"/>
              <w:bottom w:w="0" w:type="dxa"/>
            </w:tcMar>
            <w:vAlign w:val="center"/>
          </w:tcPr>
          <w:p w:rsidR="00F83447" w:rsidRDefault="0028555D">
            <w:pPr>
              <w:keepNext/>
              <w:keepLines/>
              <w:spacing w:after="0" w:line="240" w:lineRule="auto"/>
              <w:jc w:val="right"/>
            </w:pPr>
            <w:r>
              <w:rPr>
                <w:sz w:val="18"/>
              </w:rPr>
              <w:t>80.449,68</w:t>
            </w:r>
          </w:p>
        </w:tc>
        <w:tc>
          <w:tcPr>
            <w:tcW w:w="700" w:type="dxa"/>
            <w:tcMar>
              <w:top w:w="0" w:type="dxa"/>
              <w:bottom w:w="0" w:type="dxa"/>
            </w:tcMar>
            <w:vAlign w:val="center"/>
          </w:tcPr>
          <w:p w:rsidR="00F83447" w:rsidRDefault="0028555D">
            <w:pPr>
              <w:keepNext/>
              <w:keepLines/>
              <w:spacing w:after="0" w:line="240" w:lineRule="auto"/>
              <w:jc w:val="right"/>
            </w:pPr>
            <w:r>
              <w:rPr>
                <w:sz w:val="18"/>
              </w:rPr>
              <w:t>87,3</w:t>
            </w:r>
          </w:p>
        </w:tc>
      </w:tr>
    </w:tbl>
    <w:p w:rsidR="00F83447" w:rsidRDefault="00F83447">
      <w:pPr>
        <w:spacing w:after="0"/>
      </w:pPr>
    </w:p>
    <w:p w:rsidR="00F83447" w:rsidRDefault="0028555D" w:rsidP="00EE6A0C">
      <w:pPr>
        <w:jc w:val="both"/>
      </w:pPr>
      <w:r>
        <w:t>Obračunati prihodi od HZZO-a na temelju ugovornih obveza u promatranom razdoblju iznose 80.449,68 eura te su manji za 12,70 %, odnosno za 11.680,69 eura u odnosu na isto razdoblje prethodne godine. Potraživanje od zaštite zdravlja na radu iznosi 13.291,34 eura dok potraživanje od Ino osiguranika (izvan limitiranih sredstava) iznosi 67.158,34 eura. Plaćanje se vrši u roku dospijeća nakon čega se isto priznaje u prihod.</w:t>
      </w:r>
    </w:p>
    <w:p w:rsidR="00F83447" w:rsidRDefault="00F83447"/>
    <w:p w:rsidR="00F83447" w:rsidRDefault="0028555D">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412</w:t>
            </w:r>
          </w:p>
        </w:tc>
        <w:tc>
          <w:tcPr>
            <w:tcW w:w="3180" w:type="dxa"/>
            <w:tcMar>
              <w:top w:w="0" w:type="dxa"/>
              <w:bottom w:w="0" w:type="dxa"/>
            </w:tcMar>
            <w:vAlign w:val="center"/>
          </w:tcPr>
          <w:p w:rsidR="00F83447" w:rsidRDefault="0028555D">
            <w:pPr>
              <w:keepNext/>
              <w:keepLines/>
              <w:spacing w:after="0" w:line="240" w:lineRule="auto"/>
            </w:pPr>
            <w:r>
              <w:rPr>
                <w:sz w:val="18"/>
              </w:rPr>
              <w:t>Nematerijalna imovina (šifre 4121 do 4126)</w:t>
            </w:r>
          </w:p>
        </w:tc>
        <w:tc>
          <w:tcPr>
            <w:tcW w:w="700" w:type="dxa"/>
            <w:tcMar>
              <w:top w:w="0" w:type="dxa"/>
              <w:bottom w:w="0" w:type="dxa"/>
            </w:tcMar>
            <w:vAlign w:val="center"/>
          </w:tcPr>
          <w:p w:rsidR="00F83447" w:rsidRDefault="0028555D">
            <w:pPr>
              <w:keepNext/>
              <w:keepLines/>
              <w:spacing w:after="0" w:line="240" w:lineRule="auto"/>
            </w:pPr>
            <w:r>
              <w:rPr>
                <w:sz w:val="18"/>
              </w:rPr>
              <w:t>412</w:t>
            </w:r>
          </w:p>
        </w:tc>
        <w:tc>
          <w:tcPr>
            <w:tcW w:w="1860" w:type="dxa"/>
            <w:tcMar>
              <w:top w:w="0" w:type="dxa"/>
              <w:bottom w:w="0" w:type="dxa"/>
            </w:tcMar>
            <w:vAlign w:val="center"/>
          </w:tcPr>
          <w:p w:rsidR="00F83447" w:rsidRDefault="0028555D">
            <w:pPr>
              <w:keepNext/>
              <w:keepLines/>
              <w:spacing w:after="0" w:line="240" w:lineRule="auto"/>
              <w:jc w:val="right"/>
            </w:pPr>
            <w:r>
              <w:rPr>
                <w:sz w:val="18"/>
              </w:rPr>
              <w:t>8.307,50</w:t>
            </w:r>
          </w:p>
        </w:tc>
        <w:tc>
          <w:tcPr>
            <w:tcW w:w="1860" w:type="dxa"/>
            <w:tcMar>
              <w:top w:w="0" w:type="dxa"/>
              <w:bottom w:w="0" w:type="dxa"/>
            </w:tcMar>
            <w:vAlign w:val="center"/>
          </w:tcPr>
          <w:p w:rsidR="00F83447" w:rsidRDefault="0028555D">
            <w:pPr>
              <w:keepNext/>
              <w:keepLines/>
              <w:spacing w:after="0" w:line="240" w:lineRule="auto"/>
              <w:jc w:val="right"/>
            </w:pPr>
            <w:r>
              <w:rPr>
                <w:sz w:val="18"/>
              </w:rPr>
              <w:t>9.562,38</w:t>
            </w:r>
          </w:p>
        </w:tc>
        <w:tc>
          <w:tcPr>
            <w:tcW w:w="700" w:type="dxa"/>
            <w:tcMar>
              <w:top w:w="0" w:type="dxa"/>
              <w:bottom w:w="0" w:type="dxa"/>
            </w:tcMar>
            <w:vAlign w:val="center"/>
          </w:tcPr>
          <w:p w:rsidR="00F83447" w:rsidRDefault="0028555D">
            <w:pPr>
              <w:keepNext/>
              <w:keepLines/>
              <w:spacing w:after="0" w:line="240" w:lineRule="auto"/>
              <w:jc w:val="right"/>
            </w:pPr>
            <w:r>
              <w:rPr>
                <w:sz w:val="18"/>
              </w:rPr>
              <w:t>115,1</w:t>
            </w:r>
          </w:p>
        </w:tc>
      </w:tr>
    </w:tbl>
    <w:p w:rsidR="00F83447" w:rsidRDefault="00F83447">
      <w:pPr>
        <w:spacing w:after="0"/>
      </w:pPr>
    </w:p>
    <w:p w:rsidR="00F83447" w:rsidRDefault="0028555D" w:rsidP="00EE6A0C">
      <w:pPr>
        <w:jc w:val="both"/>
      </w:pPr>
      <w:r>
        <w:t>Bilježi povećanje za 15,10% ili za 1.254,88 eura. U prethodnoj godini obnovljen pristup bazi medicinske dokumentacije u elektronskom obliku '</w:t>
      </w:r>
      <w:proofErr w:type="spellStart"/>
      <w:r>
        <w:t>UpToDate</w:t>
      </w:r>
      <w:proofErr w:type="spellEnd"/>
      <w:r>
        <w:t xml:space="preserve"> </w:t>
      </w:r>
      <w:proofErr w:type="spellStart"/>
      <w:r>
        <w:t>Anywhere</w:t>
      </w:r>
      <w:proofErr w:type="spellEnd"/>
      <w:r>
        <w:t>", plaćene naknade za održavanje postojećih licenci te kupnji dodatne licence za rad. U poslovnoj godini obnovljen pristup bazi medicinske dokumentacije u elektronskom obliku „</w:t>
      </w:r>
      <w:proofErr w:type="spellStart"/>
      <w:r>
        <w:t>Up</w:t>
      </w:r>
      <w:proofErr w:type="spellEnd"/>
      <w:r>
        <w:t xml:space="preserve"> </w:t>
      </w:r>
      <w:proofErr w:type="spellStart"/>
      <w:r>
        <w:t>ToDate</w:t>
      </w:r>
      <w:proofErr w:type="spellEnd"/>
      <w:r>
        <w:t xml:space="preserve"> </w:t>
      </w:r>
      <w:proofErr w:type="spellStart"/>
      <w:r>
        <w:t>Anywhere</w:t>
      </w:r>
      <w:proofErr w:type="spellEnd"/>
      <w:r>
        <w:t>“ te su nabavljene dodatne licence za rad.</w:t>
      </w:r>
    </w:p>
    <w:p w:rsidR="00F83447" w:rsidRDefault="00F83447"/>
    <w:p w:rsidR="00F83447" w:rsidRDefault="0028555D">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422</w:t>
            </w:r>
          </w:p>
        </w:tc>
        <w:tc>
          <w:tcPr>
            <w:tcW w:w="3180" w:type="dxa"/>
            <w:tcMar>
              <w:top w:w="0" w:type="dxa"/>
              <w:bottom w:w="0" w:type="dxa"/>
            </w:tcMar>
            <w:vAlign w:val="center"/>
          </w:tcPr>
          <w:p w:rsidR="00F83447" w:rsidRDefault="0028555D">
            <w:pPr>
              <w:keepNext/>
              <w:keepLines/>
              <w:spacing w:after="0" w:line="240" w:lineRule="auto"/>
            </w:pPr>
            <w:r>
              <w:rPr>
                <w:sz w:val="18"/>
              </w:rPr>
              <w:t>Postrojenja i oprema (šifre 4221 do 4228)</w:t>
            </w:r>
          </w:p>
        </w:tc>
        <w:tc>
          <w:tcPr>
            <w:tcW w:w="700" w:type="dxa"/>
            <w:tcMar>
              <w:top w:w="0" w:type="dxa"/>
              <w:bottom w:w="0" w:type="dxa"/>
            </w:tcMar>
            <w:vAlign w:val="center"/>
          </w:tcPr>
          <w:p w:rsidR="00F83447" w:rsidRDefault="0028555D">
            <w:pPr>
              <w:keepNext/>
              <w:keepLines/>
              <w:spacing w:after="0" w:line="240" w:lineRule="auto"/>
            </w:pPr>
            <w:r>
              <w:rPr>
                <w:sz w:val="18"/>
              </w:rPr>
              <w:t>422</w:t>
            </w:r>
          </w:p>
        </w:tc>
        <w:tc>
          <w:tcPr>
            <w:tcW w:w="1860" w:type="dxa"/>
            <w:tcMar>
              <w:top w:w="0" w:type="dxa"/>
              <w:bottom w:w="0" w:type="dxa"/>
            </w:tcMar>
            <w:vAlign w:val="center"/>
          </w:tcPr>
          <w:p w:rsidR="00F83447" w:rsidRDefault="0028555D">
            <w:pPr>
              <w:keepNext/>
              <w:keepLines/>
              <w:spacing w:after="0" w:line="240" w:lineRule="auto"/>
              <w:jc w:val="right"/>
            </w:pPr>
            <w:r>
              <w:rPr>
                <w:sz w:val="18"/>
              </w:rPr>
              <w:t>183.445,27</w:t>
            </w:r>
          </w:p>
        </w:tc>
        <w:tc>
          <w:tcPr>
            <w:tcW w:w="1860" w:type="dxa"/>
            <w:tcMar>
              <w:top w:w="0" w:type="dxa"/>
              <w:bottom w:w="0" w:type="dxa"/>
            </w:tcMar>
            <w:vAlign w:val="center"/>
          </w:tcPr>
          <w:p w:rsidR="00F83447" w:rsidRDefault="0028555D">
            <w:pPr>
              <w:keepNext/>
              <w:keepLines/>
              <w:spacing w:after="0" w:line="240" w:lineRule="auto"/>
              <w:jc w:val="right"/>
            </w:pPr>
            <w:r>
              <w:rPr>
                <w:sz w:val="18"/>
              </w:rPr>
              <w:t>1.015.695,24</w:t>
            </w:r>
          </w:p>
        </w:tc>
        <w:tc>
          <w:tcPr>
            <w:tcW w:w="700" w:type="dxa"/>
            <w:tcMar>
              <w:top w:w="0" w:type="dxa"/>
              <w:bottom w:w="0" w:type="dxa"/>
            </w:tcMar>
            <w:vAlign w:val="center"/>
          </w:tcPr>
          <w:p w:rsidR="00F83447" w:rsidRDefault="0028555D">
            <w:pPr>
              <w:keepNext/>
              <w:keepLines/>
              <w:spacing w:after="0" w:line="240" w:lineRule="auto"/>
              <w:jc w:val="right"/>
            </w:pPr>
            <w:r>
              <w:rPr>
                <w:sz w:val="18"/>
              </w:rPr>
              <w:t>553,7</w:t>
            </w:r>
          </w:p>
        </w:tc>
      </w:tr>
    </w:tbl>
    <w:p w:rsidR="00F83447" w:rsidRDefault="00F83447">
      <w:pPr>
        <w:spacing w:after="0"/>
      </w:pPr>
    </w:p>
    <w:p w:rsidR="00F83447" w:rsidRDefault="0028555D" w:rsidP="00EE6A0C">
      <w:pPr>
        <w:jc w:val="both"/>
      </w:pPr>
      <w:r>
        <w:t xml:space="preserve">U odnosu na isto razdoblje prethodne, 2025. godine, rashodi za postrojenja i opremu bilježe povećanje od 453,70 %, odnosno za 832.249,97 eura. Najznačajniji razlog povećanja odnosi se na nabavu dugotrajne imovine u okviru provedbe projekta „Unapređenje kvalitete smještaja i sadržaja hotela Minerva“. U sklopu projekta nabavljen je namještaj za opremanje smještajnih jedinica u iznosu od 406.772,33 eura te oprema za opremanje kuhinje u iznosu od 551.585,00 </w:t>
      </w:r>
      <w:r>
        <w:lastRenderedPageBreak/>
        <w:t>eura, odnosno ukupno 958.357,33 eura. Za navedenu nabavu planirano je financiranje iz sredstava pomoći Ministarstva zdravstva.</w:t>
      </w:r>
    </w:p>
    <w:p w:rsidR="00F83447" w:rsidRDefault="0028555D" w:rsidP="00EE6A0C">
      <w:pPr>
        <w:jc w:val="both"/>
      </w:pPr>
      <w:r>
        <w:t>Uz opremu povezanu s projektom Minerva, u promatranom razdoblju nabavljena je i neophodna oprema te namještaj za potrebe ostalih bolničkih odjela u ukupnom iznosu od 57.337,91 eura, s ciljem osiguranja kontinuiteta pružanja zdravstvenih usluga, poboljšanja uvjeta rada zaposlenika te zamjene dotrajale opreme. </w:t>
      </w:r>
    </w:p>
    <w:p w:rsidR="00F83447" w:rsidRDefault="0028555D" w:rsidP="00EE6A0C">
      <w:pPr>
        <w:jc w:val="both"/>
      </w:pPr>
      <w:r>
        <w:t>U prethodnom razdoblju nabava postrojenja i opreme bila je znatno manjeg opsega, budući da su aktivnosti bile prvenstveno usmjerene na provedbu građevinskih i drugih radova u okviru projekta „Unapređenje kvalitete smještaja i sadržaja hotela Minerva“.</w:t>
      </w:r>
    </w:p>
    <w:p w:rsidR="00F83447" w:rsidRDefault="00F83447"/>
    <w:p w:rsidR="00F83447" w:rsidRDefault="0028555D">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426</w:t>
            </w:r>
          </w:p>
        </w:tc>
        <w:tc>
          <w:tcPr>
            <w:tcW w:w="3180" w:type="dxa"/>
            <w:tcMar>
              <w:top w:w="0" w:type="dxa"/>
              <w:bottom w:w="0" w:type="dxa"/>
            </w:tcMar>
            <w:vAlign w:val="center"/>
          </w:tcPr>
          <w:p w:rsidR="00F83447" w:rsidRDefault="0028555D">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F83447" w:rsidRDefault="0028555D">
            <w:pPr>
              <w:keepNext/>
              <w:keepLines/>
              <w:spacing w:after="0" w:line="240" w:lineRule="auto"/>
            </w:pPr>
            <w:r>
              <w:rPr>
                <w:sz w:val="18"/>
              </w:rPr>
              <w:t>426</w:t>
            </w:r>
          </w:p>
        </w:tc>
        <w:tc>
          <w:tcPr>
            <w:tcW w:w="1860" w:type="dxa"/>
            <w:tcMar>
              <w:top w:w="0" w:type="dxa"/>
              <w:bottom w:w="0" w:type="dxa"/>
            </w:tcMar>
            <w:vAlign w:val="center"/>
          </w:tcPr>
          <w:p w:rsidR="00F83447" w:rsidRDefault="0028555D">
            <w:pPr>
              <w:keepNext/>
              <w:keepLines/>
              <w:spacing w:after="0" w:line="240" w:lineRule="auto"/>
              <w:jc w:val="right"/>
            </w:pPr>
            <w:r>
              <w:rPr>
                <w:sz w:val="18"/>
              </w:rPr>
              <w:t>0,00</w:t>
            </w:r>
          </w:p>
        </w:tc>
        <w:tc>
          <w:tcPr>
            <w:tcW w:w="1860" w:type="dxa"/>
            <w:tcMar>
              <w:top w:w="0" w:type="dxa"/>
              <w:bottom w:w="0" w:type="dxa"/>
            </w:tcMar>
            <w:vAlign w:val="center"/>
          </w:tcPr>
          <w:p w:rsidR="00F83447" w:rsidRDefault="0028555D">
            <w:pPr>
              <w:keepNext/>
              <w:keepLines/>
              <w:spacing w:after="0" w:line="240" w:lineRule="auto"/>
              <w:jc w:val="right"/>
            </w:pPr>
            <w:r>
              <w:rPr>
                <w:sz w:val="18"/>
              </w:rPr>
              <w:t>21.250,00</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sidP="00EE6A0C">
      <w:pPr>
        <w:jc w:val="both"/>
      </w:pPr>
      <w:r>
        <w:t>Ulaganja u računalne programe iznose 21.250,00 eura, a odnose se na prilagodbu i integraciju integriranog bolničkog sustava sa središnjim dijelovima programskih sustava nabavljenih u sklopu projekta Nacionalnog plana oporavka i otpornosti 2021.-2026. godine, odnosno povezivanje za jediničnu raspodjelu terapije po odjelima. Prethodne godine nismo imali ulaganja u računalne programe.</w:t>
      </w:r>
    </w:p>
    <w:p w:rsidR="00F83447" w:rsidRDefault="00F83447"/>
    <w:p w:rsidR="00F83447" w:rsidRDefault="0028555D">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451</w:t>
            </w:r>
          </w:p>
        </w:tc>
        <w:tc>
          <w:tcPr>
            <w:tcW w:w="3180" w:type="dxa"/>
            <w:tcMar>
              <w:top w:w="0" w:type="dxa"/>
              <w:bottom w:w="0" w:type="dxa"/>
            </w:tcMar>
            <w:vAlign w:val="center"/>
          </w:tcPr>
          <w:p w:rsidR="00F83447" w:rsidRDefault="0028555D">
            <w:pPr>
              <w:keepNext/>
              <w:keepLines/>
              <w:spacing w:after="0" w:line="240" w:lineRule="auto"/>
            </w:pPr>
            <w:r>
              <w:rPr>
                <w:sz w:val="18"/>
              </w:rPr>
              <w:t>Dodatna ulaganja na građevinskim objektima</w:t>
            </w:r>
          </w:p>
        </w:tc>
        <w:tc>
          <w:tcPr>
            <w:tcW w:w="700" w:type="dxa"/>
            <w:tcMar>
              <w:top w:w="0" w:type="dxa"/>
              <w:bottom w:w="0" w:type="dxa"/>
            </w:tcMar>
            <w:vAlign w:val="center"/>
          </w:tcPr>
          <w:p w:rsidR="00F83447" w:rsidRDefault="0028555D">
            <w:pPr>
              <w:keepNext/>
              <w:keepLines/>
              <w:spacing w:after="0" w:line="240" w:lineRule="auto"/>
            </w:pPr>
            <w:r>
              <w:rPr>
                <w:sz w:val="18"/>
              </w:rPr>
              <w:t>451</w:t>
            </w:r>
          </w:p>
        </w:tc>
        <w:tc>
          <w:tcPr>
            <w:tcW w:w="1860" w:type="dxa"/>
            <w:tcMar>
              <w:top w:w="0" w:type="dxa"/>
              <w:bottom w:w="0" w:type="dxa"/>
            </w:tcMar>
            <w:vAlign w:val="center"/>
          </w:tcPr>
          <w:p w:rsidR="00F83447" w:rsidRDefault="0028555D">
            <w:pPr>
              <w:keepNext/>
              <w:keepLines/>
              <w:spacing w:after="0" w:line="240" w:lineRule="auto"/>
              <w:jc w:val="right"/>
            </w:pPr>
            <w:r>
              <w:rPr>
                <w:sz w:val="18"/>
              </w:rPr>
              <w:t>3.248.827,32</w:t>
            </w:r>
          </w:p>
        </w:tc>
        <w:tc>
          <w:tcPr>
            <w:tcW w:w="1860" w:type="dxa"/>
            <w:tcMar>
              <w:top w:w="0" w:type="dxa"/>
              <w:bottom w:w="0" w:type="dxa"/>
            </w:tcMar>
            <w:vAlign w:val="center"/>
          </w:tcPr>
          <w:p w:rsidR="00F83447" w:rsidRDefault="0028555D">
            <w:pPr>
              <w:keepNext/>
              <w:keepLines/>
              <w:spacing w:after="0" w:line="240" w:lineRule="auto"/>
              <w:jc w:val="right"/>
            </w:pPr>
            <w:r>
              <w:rPr>
                <w:sz w:val="18"/>
              </w:rPr>
              <w:t>13.673.013,55</w:t>
            </w:r>
          </w:p>
        </w:tc>
        <w:tc>
          <w:tcPr>
            <w:tcW w:w="700" w:type="dxa"/>
            <w:tcMar>
              <w:top w:w="0" w:type="dxa"/>
              <w:bottom w:w="0" w:type="dxa"/>
            </w:tcMar>
            <w:vAlign w:val="center"/>
          </w:tcPr>
          <w:p w:rsidR="00F83447" w:rsidRDefault="0028555D">
            <w:pPr>
              <w:keepNext/>
              <w:keepLines/>
              <w:spacing w:after="0" w:line="240" w:lineRule="auto"/>
              <w:jc w:val="right"/>
            </w:pPr>
            <w:r>
              <w:rPr>
                <w:sz w:val="18"/>
              </w:rPr>
              <w:t>420,9</w:t>
            </w:r>
          </w:p>
        </w:tc>
      </w:tr>
    </w:tbl>
    <w:p w:rsidR="00F83447" w:rsidRDefault="00F83447">
      <w:pPr>
        <w:spacing w:after="0"/>
      </w:pPr>
    </w:p>
    <w:p w:rsidR="00F83447" w:rsidRDefault="0028555D" w:rsidP="00EE6A0C">
      <w:pPr>
        <w:jc w:val="both"/>
      </w:pPr>
      <w:r>
        <w:t>U odnosu na prethodnu 2025. godinu evidentirano je povećanje dodatnih ulaganja na građevinskim objektima za 320,90 %, odnosno za 10.424.186,23 eura. Navedeno povećanje najvećim se dijelom odnosi na troškove nastale u okviru provedbe projekta „Unapređenje kvalitete smještaja i sadržaja hotela Minerva“. Provedba projekta započela je u siječnju 2025. godine, pri čemu su u početnoj fazi realizacije privremene situacije bile znatno nižih financijskih vrijednosti. Tijekom poslovne 2026. godine projekt se nalazi u završnoj fazi provedbe, zbog čega je intenzitet realizacije radova povećan, što je rezultiralo značajnim rastom evidentiranih rashoda u odnosu na prethodno razdoblje.</w:t>
      </w:r>
    </w:p>
    <w:p w:rsidR="00F83447" w:rsidRDefault="00F83447"/>
    <w:p w:rsidR="00F83447" w:rsidRDefault="0028555D">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8</w:t>
            </w:r>
          </w:p>
        </w:tc>
        <w:tc>
          <w:tcPr>
            <w:tcW w:w="3180" w:type="dxa"/>
            <w:tcMar>
              <w:top w:w="0" w:type="dxa"/>
              <w:bottom w:w="0" w:type="dxa"/>
            </w:tcMar>
            <w:vAlign w:val="center"/>
          </w:tcPr>
          <w:p w:rsidR="00F83447" w:rsidRDefault="0028555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83447" w:rsidRDefault="0028555D">
            <w:pPr>
              <w:keepNext/>
              <w:keepLines/>
              <w:spacing w:after="0" w:line="240" w:lineRule="auto"/>
            </w:pPr>
            <w:r>
              <w:rPr>
                <w:sz w:val="18"/>
              </w:rPr>
              <w:t>8</w:t>
            </w:r>
          </w:p>
        </w:tc>
        <w:tc>
          <w:tcPr>
            <w:tcW w:w="1860" w:type="dxa"/>
            <w:tcMar>
              <w:top w:w="0" w:type="dxa"/>
              <w:bottom w:w="0" w:type="dxa"/>
            </w:tcMar>
            <w:vAlign w:val="center"/>
          </w:tcPr>
          <w:p w:rsidR="00F83447" w:rsidRDefault="0028555D">
            <w:pPr>
              <w:keepNext/>
              <w:keepLines/>
              <w:spacing w:after="0" w:line="240" w:lineRule="auto"/>
              <w:jc w:val="right"/>
            </w:pPr>
            <w:r>
              <w:rPr>
                <w:sz w:val="18"/>
              </w:rPr>
              <w:t>0,00</w:t>
            </w:r>
          </w:p>
        </w:tc>
        <w:tc>
          <w:tcPr>
            <w:tcW w:w="1860" w:type="dxa"/>
            <w:tcMar>
              <w:top w:w="0" w:type="dxa"/>
              <w:bottom w:w="0" w:type="dxa"/>
            </w:tcMar>
            <w:vAlign w:val="center"/>
          </w:tcPr>
          <w:p w:rsidR="00F83447" w:rsidRDefault="0028555D">
            <w:pPr>
              <w:keepNext/>
              <w:keepLines/>
              <w:spacing w:after="0" w:line="240" w:lineRule="auto"/>
              <w:jc w:val="right"/>
            </w:pPr>
            <w:r>
              <w:rPr>
                <w:sz w:val="18"/>
              </w:rPr>
              <w:t>5.000.000,00</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sidP="00EE6A0C">
      <w:pPr>
        <w:jc w:val="both"/>
      </w:pPr>
      <w:r>
        <w:t>Primici od financijske imovine i zaduživanja odnose se na povučena sredstva dugoročnog kredita namijenjenog financiranju projekta „Unapređenje kvalitete smještaja i sadržaja hotela Minerva“. Sredstva kredita povučena su temeljem podnesenih zahtjeva za korištenje kredita, u skladu s nastalim obvezama prema ispostavljenim računima za realizirane projektne aktivnosti. Ukupno ugovoreni iznos kredita od 5.000.000,00 eura povučen je u cijelosti. Povučena kreditna sredstva korištena su za podmirenje obveza prema izvođačima radova i dobavljačima, odnosno za plaćanje računa ispostavljenih za realizirane aktivnosti u okviru projekta, kao i za podmirenje obveze poreza na dodanu vrijednost prema Državnom proračunu, nastale po osnovi provedbe navedenog projekta. U izvještajnom razdoblju prethodne godine nisu bili evidentirani primici po osnovi zaduživanja, budući da korištenje dugoročnog kredita za financiranje projekta nije bilo započeto.</w:t>
      </w:r>
    </w:p>
    <w:p w:rsidR="00F83447" w:rsidRDefault="00F83447"/>
    <w:p w:rsidR="00F83447" w:rsidRDefault="0028555D">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54</w:t>
            </w:r>
          </w:p>
        </w:tc>
        <w:tc>
          <w:tcPr>
            <w:tcW w:w="3180" w:type="dxa"/>
            <w:tcMar>
              <w:top w:w="0" w:type="dxa"/>
              <w:bottom w:w="0" w:type="dxa"/>
            </w:tcMar>
            <w:vAlign w:val="center"/>
          </w:tcPr>
          <w:p w:rsidR="00F83447" w:rsidRDefault="0028555D">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rsidR="00F83447" w:rsidRDefault="0028555D">
            <w:pPr>
              <w:keepNext/>
              <w:keepLines/>
              <w:spacing w:after="0" w:line="240" w:lineRule="auto"/>
            </w:pPr>
            <w:r>
              <w:rPr>
                <w:sz w:val="18"/>
              </w:rPr>
              <w:t>54</w:t>
            </w:r>
          </w:p>
        </w:tc>
        <w:tc>
          <w:tcPr>
            <w:tcW w:w="1860" w:type="dxa"/>
            <w:tcMar>
              <w:top w:w="0" w:type="dxa"/>
              <w:bottom w:w="0" w:type="dxa"/>
            </w:tcMar>
            <w:vAlign w:val="center"/>
          </w:tcPr>
          <w:p w:rsidR="00F83447" w:rsidRDefault="0028555D">
            <w:pPr>
              <w:keepNext/>
              <w:keepLines/>
              <w:spacing w:after="0" w:line="240" w:lineRule="auto"/>
              <w:jc w:val="right"/>
            </w:pPr>
            <w:r>
              <w:rPr>
                <w:sz w:val="18"/>
              </w:rPr>
              <w:t>609.115,06</w:t>
            </w:r>
          </w:p>
        </w:tc>
        <w:tc>
          <w:tcPr>
            <w:tcW w:w="1860" w:type="dxa"/>
            <w:tcMar>
              <w:top w:w="0" w:type="dxa"/>
              <w:bottom w:w="0" w:type="dxa"/>
            </w:tcMar>
            <w:vAlign w:val="center"/>
          </w:tcPr>
          <w:p w:rsidR="00F83447" w:rsidRDefault="0028555D">
            <w:pPr>
              <w:keepNext/>
              <w:keepLines/>
              <w:spacing w:after="0" w:line="240" w:lineRule="auto"/>
              <w:jc w:val="right"/>
            </w:pPr>
            <w:r>
              <w:rPr>
                <w:sz w:val="18"/>
              </w:rPr>
              <w:t>795.988,09</w:t>
            </w:r>
          </w:p>
        </w:tc>
        <w:tc>
          <w:tcPr>
            <w:tcW w:w="700" w:type="dxa"/>
            <w:tcMar>
              <w:top w:w="0" w:type="dxa"/>
              <w:bottom w:w="0" w:type="dxa"/>
            </w:tcMar>
            <w:vAlign w:val="center"/>
          </w:tcPr>
          <w:p w:rsidR="00F83447" w:rsidRDefault="0028555D">
            <w:pPr>
              <w:keepNext/>
              <w:keepLines/>
              <w:spacing w:after="0" w:line="240" w:lineRule="auto"/>
              <w:jc w:val="right"/>
            </w:pPr>
            <w:r>
              <w:rPr>
                <w:sz w:val="18"/>
              </w:rPr>
              <w:t>130,7</w:t>
            </w:r>
          </w:p>
        </w:tc>
      </w:tr>
    </w:tbl>
    <w:p w:rsidR="00F83447" w:rsidRDefault="00F83447">
      <w:pPr>
        <w:spacing w:after="0"/>
      </w:pPr>
    </w:p>
    <w:p w:rsidR="00F83447" w:rsidRDefault="0028555D" w:rsidP="00EE6A0C">
      <w:pPr>
        <w:jc w:val="both"/>
      </w:pPr>
      <w:r>
        <w:t xml:space="preserve">Izdaci za otplatu glavnice u promatranom razdoblju iznose 795.988,09 eura te su veći za 30,70 %, odnosno za 186.873,03 eura u odnosu na isto razdoblje prethodne godine. Na otplatu glavnice po kreditima Hrvatske banke za obnovu i razvitak (HBOR) evidentiran je iznos od 237.782,24 eura, jednako kao i u prethodnom izvještajnom razdoblju. Navedena otplata financirana je iz sredstava za decentralizirane funkcije u cijelosti. Izdaci za otplatu glavnice po investicijskim kreditima prema Zagrebačkoj banci iznose 153.141,70 eura, što odgovara razini ostvarenoj u prethodnoj godini. Od navedenog iznosa, dio u visini od 127.618,00 eura financiran je iz sredstava za decentralizirane funkcije. Povećanje ukupnih izdataka za otplatu glavnice najvećim se dijelom odnosi na otplatu kratkoročnog kredita po osnovi </w:t>
      </w:r>
      <w:proofErr w:type="spellStart"/>
      <w:r>
        <w:t>cash</w:t>
      </w:r>
      <w:proofErr w:type="spellEnd"/>
      <w:r>
        <w:t xml:space="preserve"> </w:t>
      </w:r>
      <w:proofErr w:type="spellStart"/>
      <w:r>
        <w:t>poola</w:t>
      </w:r>
      <w:proofErr w:type="spellEnd"/>
      <w:r>
        <w:t>, za koji je u promatranom razdoblju evidentiran iznos od 405.064,15 eura, dok je u istom razdoblju prethodne godine iznosio 218.191,12 eura. Navedeno povećanje posljedica je većeg korištenja kratkoročnog financiranja u odnosu na prethodno razdoblje.</w:t>
      </w:r>
    </w:p>
    <w:p w:rsidR="00F83447" w:rsidRDefault="00F83447"/>
    <w:p w:rsidR="00F83447" w:rsidRDefault="0028555D">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28555D">
            <w:pPr>
              <w:keepNext/>
              <w:keepLines/>
              <w:spacing w:after="0" w:line="240" w:lineRule="auto"/>
            </w:pPr>
            <w:r>
              <w:rPr>
                <w:sz w:val="18"/>
              </w:rPr>
              <w:t>9222-9221</w:t>
            </w:r>
          </w:p>
        </w:tc>
        <w:tc>
          <w:tcPr>
            <w:tcW w:w="3180" w:type="dxa"/>
            <w:tcMar>
              <w:top w:w="0" w:type="dxa"/>
              <w:bottom w:w="0" w:type="dxa"/>
            </w:tcMar>
            <w:vAlign w:val="center"/>
          </w:tcPr>
          <w:p w:rsidR="00F83447" w:rsidRDefault="0028555D">
            <w:pPr>
              <w:keepNext/>
              <w:keepLines/>
              <w:spacing w:after="0" w:line="240" w:lineRule="auto"/>
            </w:pPr>
            <w:r>
              <w:rPr>
                <w:sz w:val="18"/>
              </w:rPr>
              <w:t>Manjak prihoda i primitaka - preneseni (šifre '9221x,9222x MP' - '9221x,9222x VP' + 92223 - 92213)</w:t>
            </w:r>
          </w:p>
        </w:tc>
        <w:tc>
          <w:tcPr>
            <w:tcW w:w="700" w:type="dxa"/>
            <w:tcMar>
              <w:top w:w="0" w:type="dxa"/>
              <w:bottom w:w="0" w:type="dxa"/>
            </w:tcMar>
            <w:vAlign w:val="center"/>
          </w:tcPr>
          <w:p w:rsidR="00F83447" w:rsidRDefault="0028555D">
            <w:pPr>
              <w:keepNext/>
              <w:keepLines/>
              <w:spacing w:after="0" w:line="240" w:lineRule="auto"/>
            </w:pPr>
            <w:r>
              <w:rPr>
                <w:sz w:val="18"/>
              </w:rPr>
              <w:t>9222-9221</w:t>
            </w:r>
          </w:p>
        </w:tc>
        <w:tc>
          <w:tcPr>
            <w:tcW w:w="1860" w:type="dxa"/>
            <w:tcMar>
              <w:top w:w="0" w:type="dxa"/>
              <w:bottom w:w="0" w:type="dxa"/>
            </w:tcMar>
            <w:vAlign w:val="center"/>
          </w:tcPr>
          <w:p w:rsidR="00F83447" w:rsidRDefault="0028555D">
            <w:pPr>
              <w:keepNext/>
              <w:keepLines/>
              <w:spacing w:after="0" w:line="240" w:lineRule="auto"/>
              <w:jc w:val="right"/>
            </w:pPr>
            <w:r>
              <w:rPr>
                <w:sz w:val="18"/>
              </w:rPr>
              <w:t>13.152.768,37</w:t>
            </w:r>
          </w:p>
        </w:tc>
        <w:tc>
          <w:tcPr>
            <w:tcW w:w="1860" w:type="dxa"/>
            <w:tcMar>
              <w:top w:w="0" w:type="dxa"/>
              <w:bottom w:w="0" w:type="dxa"/>
            </w:tcMar>
            <w:vAlign w:val="center"/>
          </w:tcPr>
          <w:p w:rsidR="00F83447" w:rsidRDefault="0028555D">
            <w:pPr>
              <w:keepNext/>
              <w:keepLines/>
              <w:spacing w:after="0" w:line="240" w:lineRule="auto"/>
              <w:jc w:val="right"/>
            </w:pPr>
            <w:r>
              <w:rPr>
                <w:sz w:val="18"/>
              </w:rPr>
              <w:t>19.360.222,73</w:t>
            </w:r>
          </w:p>
        </w:tc>
        <w:tc>
          <w:tcPr>
            <w:tcW w:w="700" w:type="dxa"/>
            <w:tcMar>
              <w:top w:w="0" w:type="dxa"/>
              <w:bottom w:w="0" w:type="dxa"/>
            </w:tcMar>
            <w:vAlign w:val="center"/>
          </w:tcPr>
          <w:p w:rsidR="00F83447" w:rsidRDefault="0028555D">
            <w:pPr>
              <w:keepNext/>
              <w:keepLines/>
              <w:spacing w:after="0" w:line="240" w:lineRule="auto"/>
              <w:jc w:val="right"/>
            </w:pPr>
            <w:r>
              <w:rPr>
                <w:sz w:val="18"/>
              </w:rPr>
              <w:t>147,2</w:t>
            </w:r>
          </w:p>
        </w:tc>
      </w:tr>
    </w:tbl>
    <w:p w:rsidR="00F83447" w:rsidRDefault="00F83447">
      <w:pPr>
        <w:spacing w:after="0"/>
      </w:pPr>
    </w:p>
    <w:p w:rsidR="00F83447" w:rsidRDefault="0028555D" w:rsidP="00EE6A0C">
      <w:pPr>
        <w:jc w:val="both"/>
      </w:pPr>
      <w:r>
        <w:t>Početno stanje Manjak prihoda i primitaka - preneseni iznosilo je 19.391.604,52 eura, dok iskazano stanje izvještajnog razdoblja u obrascu PR-RAS iznosi 19.360.222,73 eura, što predstavlja razliku od 31.381,79 eura.</w:t>
      </w:r>
    </w:p>
    <w:p w:rsidR="00F83447" w:rsidRDefault="0028555D" w:rsidP="00EE6A0C">
      <w:pPr>
        <w:jc w:val="both"/>
      </w:pPr>
      <w:r>
        <w:t>Navedena razlika odnosi se na poslovnu 2025. godinu, u kojoj su, temeljem zaprimljenog Privremenog obračuna Hrvatskih voda, evidentirani veći rashodi u iznosu od 31.381,79 eura. U 2026. godini zaprimljeno je Konačno rješenje Hrvatskih voda iz kojeg proizlazi da su navedeni troškovi bili iskazani u većem iznosu od stvarno nastalih obveza, odnosno da je došlo do pretplate i više iskazanih troškova.</w:t>
      </w:r>
    </w:p>
    <w:p w:rsidR="00F83447" w:rsidRDefault="0028555D" w:rsidP="00EE6A0C">
      <w:pPr>
        <w:jc w:val="both"/>
      </w:pPr>
      <w:r>
        <w:t>Slijedom navedenog,  od Hrvatskih voda zatražen je povrat preplaćenog iznosa, koji je u izvještajnom razdoblju i realiziran. Po zaprimljenom povratu izvršena je korekcija rezultata poslovanja iz prethodnih godina.</w:t>
      </w:r>
    </w:p>
    <w:p w:rsidR="00F83447" w:rsidRDefault="0028555D" w:rsidP="00EE6A0C">
      <w:pPr>
        <w:jc w:val="both"/>
      </w:pPr>
      <w:r>
        <w:t>Korekcija je provedena kroz stavku Višak prihoda poslovanja – ispravci iz prethodnih godina, čime je za isti iznos umanjen Manjak prihoda i primitaka - preneseni.</w:t>
      </w:r>
    </w:p>
    <w:p w:rsidR="00F83447" w:rsidRDefault="00F83447"/>
    <w:p w:rsidR="00F83447" w:rsidRDefault="0028555D">
      <w:pPr>
        <w:keepNext/>
        <w:spacing w:line="240" w:lineRule="auto"/>
        <w:jc w:val="center"/>
      </w:pPr>
      <w:r>
        <w:rPr>
          <w:b/>
          <w:sz w:val="28"/>
        </w:rPr>
        <w:t>Izvještaj o obvezama</w:t>
      </w:r>
    </w:p>
    <w:p w:rsidR="00F83447" w:rsidRDefault="0028555D">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rsidR="00F83447" w:rsidRDefault="0028555D">
            <w:pPr>
              <w:keepNext/>
              <w:keepLines/>
              <w:spacing w:after="0" w:line="240" w:lineRule="auto"/>
            </w:pPr>
            <w:r>
              <w:rPr>
                <w:sz w:val="18"/>
              </w:rPr>
              <w:t>V002</w:t>
            </w:r>
          </w:p>
        </w:tc>
        <w:tc>
          <w:tcPr>
            <w:tcW w:w="1860" w:type="dxa"/>
            <w:tcMar>
              <w:top w:w="0" w:type="dxa"/>
              <w:bottom w:w="0" w:type="dxa"/>
            </w:tcMar>
            <w:vAlign w:val="center"/>
          </w:tcPr>
          <w:p w:rsidR="00F83447" w:rsidRDefault="0028555D">
            <w:pPr>
              <w:keepNext/>
              <w:keepLines/>
              <w:spacing w:after="0" w:line="240" w:lineRule="auto"/>
              <w:jc w:val="right"/>
            </w:pPr>
            <w:r>
              <w:rPr>
                <w:sz w:val="18"/>
              </w:rPr>
              <w:t>37.046.422,85</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
        <w:t xml:space="preserve">Ukupno povećanje obveza u izvještajnom razdoblju iznosi 37.046.422,85 eura, a odnosi se na povećanje obveze prema HZZO-u za manje izvršen rad u iznosu 660.048,94 eura, prema poslovnoj Zagrebačkoj banci za korištenje kratkoročnog Cash </w:t>
      </w:r>
      <w:proofErr w:type="spellStart"/>
      <w:r>
        <w:t>pool</w:t>
      </w:r>
      <w:proofErr w:type="spellEnd"/>
      <w:r>
        <w:t xml:space="preserve"> kredita u iznosu 687.668,78 eura, prema poslovnoj Zagrebačkoj banci za korištenje dugoročnog kredita vezanog uz projekt Unapređenje kvalitete smještaja i sadržaja hotela Minerva u iznosu 5.000.000,00 eura, prema zaposlenima u iznosu 9.477.348,50 eura, na obveze za porez na dodanu vrijednost 5.836.260,82 eura, na obveze prema izvođačima radova na projektu Unapređenje kvalitete smještaja i sadržaja hotela Minerva u iznosu 10.952.476,15 eura, te obveze prema ostalim dobavljačima za materijalne rashode, energiju i ostalo u iznosu 4.432.619,66 eura.</w:t>
      </w:r>
    </w:p>
    <w:p w:rsidR="00F83447" w:rsidRDefault="00F83447"/>
    <w:p w:rsidR="00F83447" w:rsidRDefault="0028555D">
      <w:pPr>
        <w:keepNext/>
        <w:spacing w:line="240" w:lineRule="auto"/>
        <w:jc w:val="center"/>
      </w:pPr>
      <w:r>
        <w:rPr>
          <w:sz w:val="28"/>
        </w:rPr>
        <w:lastRenderedPageBreak/>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sz w:val="18"/>
              </w:rPr>
              <w:t>Međusobne obveze subjekata općeg proračuna</w:t>
            </w:r>
          </w:p>
        </w:tc>
        <w:tc>
          <w:tcPr>
            <w:tcW w:w="700" w:type="dxa"/>
            <w:tcMar>
              <w:top w:w="0" w:type="dxa"/>
              <w:bottom w:w="0" w:type="dxa"/>
            </w:tcMar>
            <w:vAlign w:val="center"/>
          </w:tcPr>
          <w:p w:rsidR="00F83447" w:rsidRDefault="0028555D">
            <w:pPr>
              <w:keepNext/>
              <w:keepLines/>
              <w:spacing w:after="0" w:line="240" w:lineRule="auto"/>
            </w:pPr>
            <w:r>
              <w:rPr>
                <w:sz w:val="18"/>
              </w:rPr>
              <w:t>V003</w:t>
            </w:r>
          </w:p>
        </w:tc>
        <w:tc>
          <w:tcPr>
            <w:tcW w:w="1860" w:type="dxa"/>
            <w:tcMar>
              <w:top w:w="0" w:type="dxa"/>
              <w:bottom w:w="0" w:type="dxa"/>
            </w:tcMar>
            <w:vAlign w:val="center"/>
          </w:tcPr>
          <w:p w:rsidR="00F83447" w:rsidRDefault="0028555D">
            <w:pPr>
              <w:keepNext/>
              <w:keepLines/>
              <w:spacing w:after="0" w:line="240" w:lineRule="auto"/>
              <w:jc w:val="right"/>
            </w:pPr>
            <w:r>
              <w:rPr>
                <w:sz w:val="18"/>
              </w:rPr>
              <w:t>8.576,99</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
        <w:t>Iznose 8.576,99 eura, a odnose se na zdravstvene i veterinarske usluge.</w:t>
      </w:r>
    </w:p>
    <w:p w:rsidR="00F83447" w:rsidRDefault="00F83447"/>
    <w:p w:rsidR="00F83447" w:rsidRDefault="0028555D">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F83447" w:rsidRDefault="0028555D">
            <w:pPr>
              <w:keepNext/>
              <w:keepLines/>
              <w:spacing w:after="0" w:line="240" w:lineRule="auto"/>
            </w:pPr>
            <w:r>
              <w:rPr>
                <w:sz w:val="18"/>
              </w:rPr>
              <w:t>V006</w:t>
            </w:r>
          </w:p>
        </w:tc>
        <w:tc>
          <w:tcPr>
            <w:tcW w:w="1860" w:type="dxa"/>
            <w:tcMar>
              <w:top w:w="0" w:type="dxa"/>
              <w:bottom w:w="0" w:type="dxa"/>
            </w:tcMar>
            <w:vAlign w:val="center"/>
          </w:tcPr>
          <w:p w:rsidR="00F83447" w:rsidRDefault="0028555D">
            <w:pPr>
              <w:keepNext/>
              <w:keepLines/>
              <w:spacing w:after="0" w:line="240" w:lineRule="auto"/>
              <w:jc w:val="right"/>
            </w:pPr>
            <w:r>
              <w:rPr>
                <w:sz w:val="18"/>
              </w:rPr>
              <w:t>36.431.271,19</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sidP="00EE6A0C">
      <w:pPr>
        <w:jc w:val="both"/>
      </w:pPr>
      <w:r>
        <w:t>Ukupne obveze na kraju izvještajnog razdoblja evidentirane su u iznosu 36.431.271,19 eura. Obveze su povećane u odnosu na stanje 1.1. za 8.713.963,39 eura, odnosno za 31,43%. Obveze su najvećim dijelom povećane u dijelu obveza za kredite budući da smo u poslovnoj godini povukli dugoročni kredit poslovne Zagrebačke banke u iznosu od 5.000.000,00 eura te na obveze prema izvođaču radova u iznosu 6.030.593,70 eura za financiranje kapitalnog projekta Unapređenje kvalitete smještaja i sadržaja hotela Minerva. Da je iz planiranih izvora financiranja izvršena refundacija troškova na ime građevinsko-obrtničkih i instalaterskih radova ukupne obveze bile bi manje za navedeni iznos obveze prema izvođaču radova.</w:t>
      </w:r>
    </w:p>
    <w:p w:rsidR="00F83447" w:rsidRDefault="0028555D" w:rsidP="00EE6A0C">
      <w:pPr>
        <w:jc w:val="both"/>
      </w:pPr>
      <w:r>
        <w:t xml:space="preserve">Dospjele obveze iznose 5.624.654,15 eura, a odnose se na: međusobne obveze subjekata općeg proračuna 4.976,44 eura (usluge mikrobiologije za bolničke pacijente, sistematske preglede), materijalne rashode u iznosu 769.835,89 eura za podmirenje obveza (živežne namirnice, energija, razne usluge), obveze na nefinancijskoj imovini (razna oprema za </w:t>
      </w:r>
      <w:proofErr w:type="spellStart"/>
      <w:r>
        <w:t>zanavljanje</w:t>
      </w:r>
      <w:proofErr w:type="spellEnd"/>
      <w:r>
        <w:t xml:space="preserve"> dotrajale opreme) u iznosu 4.849.841,82 eura. </w:t>
      </w:r>
    </w:p>
    <w:p w:rsidR="00F83447" w:rsidRDefault="0028555D" w:rsidP="00EE6A0C">
      <w:pPr>
        <w:jc w:val="both"/>
      </w:pPr>
      <w:r>
        <w:t>Zbog zatvaranja objekta Minerva s 28. veljače 2025. godine izgubili smo veliki dio tržišnog prihoda, što je uvelike utjecalo na podmirenje dospjelih obveza prema dobavljačima. Ukupni mjesečni tržišni prihod u vrijeme rada objekta Minerva kretao se je u iznosima od 600.000,00 -  700.000,00 eura mjesečno, dok se nakon zatvaranja kreće u rasponu 300.000,00 - 380.000,00 eura. Da je objekt Minerva radio bez prekida, bolnica u svojim evidencijama ne bi imala dospjelih obveza.</w:t>
      </w:r>
    </w:p>
    <w:p w:rsidR="00F83447" w:rsidRDefault="00F83447"/>
    <w:p w:rsidR="00F83447" w:rsidRDefault="0028555D">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83447" w:rsidRDefault="0028555D">
            <w:pPr>
              <w:keepNext/>
              <w:keepLines/>
              <w:spacing w:after="0" w:line="240" w:lineRule="auto"/>
            </w:pPr>
            <w:r>
              <w:rPr>
                <w:sz w:val="18"/>
              </w:rPr>
              <w:t>V007</w:t>
            </w:r>
          </w:p>
        </w:tc>
        <w:tc>
          <w:tcPr>
            <w:tcW w:w="1860" w:type="dxa"/>
            <w:tcMar>
              <w:top w:w="0" w:type="dxa"/>
              <w:bottom w:w="0" w:type="dxa"/>
            </w:tcMar>
            <w:vAlign w:val="center"/>
          </w:tcPr>
          <w:p w:rsidR="00F83447" w:rsidRDefault="0028555D">
            <w:pPr>
              <w:keepNext/>
              <w:keepLines/>
              <w:spacing w:after="0" w:line="240" w:lineRule="auto"/>
              <w:jc w:val="right"/>
            </w:pPr>
            <w:r>
              <w:rPr>
                <w:sz w:val="18"/>
              </w:rPr>
              <w:t>5.624.654,15</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sidP="00EE6A0C">
      <w:pPr>
        <w:jc w:val="both"/>
      </w:pPr>
      <w:r>
        <w:t xml:space="preserve">Dospjele obveze iznose 5.624.654,15 eura, a odnose se na: međusobne obveze subjekata općeg proračuna 4.976,44 eura (usluge mikrobiologije za bolničke pacijente, sistematske preglede), materijalne rashode u iznosu 769.835,89 eura za podmirenje obveza (živežne namirnice, </w:t>
      </w:r>
      <w:r>
        <w:lastRenderedPageBreak/>
        <w:t xml:space="preserve">energija, razne usluge), obveze za nabavu nefinancijske imovine (razna oprema te dodatna ulaganja na građevinskim objektima) u iznosu 4.849.841,82 eura. Unutar navedenog iznosa uključena je faktura izvođača radova na projektu Unapređenje kvalitete smještaja i sadržaja hotela Minerva u iznosu 4.776.203,90 eura za koju do dana podnošenja izvješća nisu refundirana sredstva iz planiranih izvora financiranja. Bolnica nema mogućnost </w:t>
      </w:r>
      <w:proofErr w:type="spellStart"/>
      <w:r>
        <w:t>predfinancirati</w:t>
      </w:r>
      <w:proofErr w:type="spellEnd"/>
      <w:r>
        <w:t xml:space="preserve"> plaćanje ovako velikog iznosa.</w:t>
      </w:r>
      <w:r>
        <w:br/>
        <w:t>Zbog zatvaranja objekta Minerva s 28. veljače 2025. godine izgubljen je veliki dio tržišnog prihoda, što je uvelike utjecalo na podmirenje dospjelih obveza prema dobavljačima. Ukupni mjesečni tržišni prihod u vrijeme rada objekta Minerva kretao se je u iznosima od 600.000,00 -  700.000,00 eura mjesečno, dok se nakon zatvaranja kreće u rasponu 300.000,00 - 380.000,00 eura. Da je objekt Minerva radio bez prekida, bolnica u svojim evidencijama ne bi imala dospjelih obveza.</w:t>
      </w:r>
    </w:p>
    <w:p w:rsidR="00F83447" w:rsidRDefault="00F83447"/>
    <w:p w:rsidR="00F83447" w:rsidRDefault="0028555D">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F83447">
        <w:trPr>
          <w:cantSplit/>
        </w:trPr>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3447" w:rsidRDefault="0028555D">
            <w:pPr>
              <w:keepNext/>
              <w:keepLines/>
              <w:spacing w:after="0" w:line="240" w:lineRule="auto"/>
              <w:jc w:val="center"/>
            </w:pPr>
            <w:r>
              <w:rPr>
                <w:b/>
                <w:sz w:val="18"/>
              </w:rPr>
              <w:t>Indeks (%)</w:t>
            </w:r>
          </w:p>
        </w:tc>
      </w:tr>
      <w:tr w:rsidR="00F83447">
        <w:trPr>
          <w:cantSplit/>
          <w:trHeight w:val="560"/>
        </w:trPr>
        <w:tc>
          <w:tcPr>
            <w:tcW w:w="700" w:type="dxa"/>
            <w:tcMar>
              <w:top w:w="0" w:type="dxa"/>
              <w:bottom w:w="0" w:type="dxa"/>
            </w:tcMar>
            <w:vAlign w:val="center"/>
          </w:tcPr>
          <w:p w:rsidR="00F83447" w:rsidRDefault="00F83447">
            <w:pPr>
              <w:keepNext/>
              <w:keepLines/>
              <w:spacing w:after="0" w:line="240" w:lineRule="auto"/>
            </w:pPr>
          </w:p>
        </w:tc>
        <w:tc>
          <w:tcPr>
            <w:tcW w:w="3180" w:type="dxa"/>
            <w:tcMar>
              <w:top w:w="0" w:type="dxa"/>
              <w:bottom w:w="0" w:type="dxa"/>
            </w:tcMar>
            <w:vAlign w:val="center"/>
          </w:tcPr>
          <w:p w:rsidR="00F83447" w:rsidRDefault="0028555D">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F83447" w:rsidRDefault="0028555D">
            <w:pPr>
              <w:keepNext/>
              <w:keepLines/>
              <w:spacing w:after="0" w:line="240" w:lineRule="auto"/>
            </w:pPr>
            <w:r>
              <w:rPr>
                <w:sz w:val="18"/>
              </w:rPr>
              <w:t>V009</w:t>
            </w:r>
          </w:p>
        </w:tc>
        <w:tc>
          <w:tcPr>
            <w:tcW w:w="1860" w:type="dxa"/>
            <w:tcMar>
              <w:top w:w="0" w:type="dxa"/>
              <w:bottom w:w="0" w:type="dxa"/>
            </w:tcMar>
            <w:vAlign w:val="center"/>
          </w:tcPr>
          <w:p w:rsidR="00F83447" w:rsidRDefault="0028555D">
            <w:pPr>
              <w:keepNext/>
              <w:keepLines/>
              <w:spacing w:after="0" w:line="240" w:lineRule="auto"/>
              <w:jc w:val="right"/>
            </w:pPr>
            <w:r>
              <w:rPr>
                <w:sz w:val="18"/>
              </w:rPr>
              <w:t>30.806.617,04</w:t>
            </w:r>
          </w:p>
        </w:tc>
        <w:tc>
          <w:tcPr>
            <w:tcW w:w="700" w:type="dxa"/>
            <w:tcMar>
              <w:top w:w="0" w:type="dxa"/>
              <w:bottom w:w="0" w:type="dxa"/>
            </w:tcMar>
            <w:vAlign w:val="center"/>
          </w:tcPr>
          <w:p w:rsidR="00F83447" w:rsidRDefault="0028555D">
            <w:pPr>
              <w:keepNext/>
              <w:keepLines/>
              <w:spacing w:after="0" w:line="240" w:lineRule="auto"/>
              <w:jc w:val="right"/>
            </w:pPr>
            <w:r>
              <w:rPr>
                <w:sz w:val="18"/>
              </w:rPr>
              <w:t>-</w:t>
            </w:r>
          </w:p>
        </w:tc>
      </w:tr>
    </w:tbl>
    <w:p w:rsidR="00F83447" w:rsidRDefault="00F83447">
      <w:pPr>
        <w:spacing w:after="0"/>
      </w:pPr>
    </w:p>
    <w:p w:rsidR="00F83447" w:rsidRDefault="0028555D" w:rsidP="00EE6A0C">
      <w:pPr>
        <w:jc w:val="both"/>
      </w:pPr>
      <w:r>
        <w:t xml:space="preserve">Nedospjele obveze evidentirane u iznosu 30.806.617,04 eura. Odnose se na obveze za rashode poslovanja u iznosu 2.869.769,37 eura (rashodi za zaposlene, živežne namirnice, energija, tekuće i investicijsko ulaganje te ostale razne usluge), obveze za nabavu nefinancijske imovine u iznosu 2.029.821,15 eura (radovi i oprema na projektu Unapređenje kvalitete smještaja i sadržaja hotela Minerva), na obveze prema bankama za kredite u iznosu 12.957.698,43 eura (ulaganja u energetsku obnovu bolničkih zgrada i provođenje projekta Unapređenje kvalitete smještaja i sadržaja hotela Minerva), obveze za predujmove  u iznosu 12.948.548,79 eura (obveza prema HZZO-u za manje izvršen rad (12.791.298,02 eura), obveze za depozite i </w:t>
      </w:r>
      <w:proofErr w:type="spellStart"/>
      <w:r>
        <w:t>jamčevne</w:t>
      </w:r>
      <w:proofErr w:type="spellEnd"/>
      <w:r>
        <w:t xml:space="preserve"> </w:t>
      </w:r>
      <w:proofErr w:type="spellStart"/>
      <w:r>
        <w:t>pologe</w:t>
      </w:r>
      <w:proofErr w:type="spellEnd"/>
      <w:r>
        <w:t xml:space="preserve"> (jamstva za uredno izvršenje ugovornih obveza ili za ozbiljnost ponude kod javljanja na natječaje)). </w:t>
      </w:r>
    </w:p>
    <w:p w:rsidR="00F83447" w:rsidRDefault="00F83447"/>
    <w:p w:rsidR="00F83447" w:rsidRDefault="0028555D">
      <w:pPr>
        <w:keepNext/>
        <w:spacing w:line="240" w:lineRule="auto"/>
        <w:jc w:val="center"/>
      </w:pPr>
      <w:r>
        <w:rPr>
          <w:sz w:val="28"/>
        </w:rPr>
        <w:t>Bilješka 45.</w:t>
      </w:r>
    </w:p>
    <w:p w:rsidR="00F83447" w:rsidRDefault="0028555D">
      <w:pPr>
        <w:spacing w:line="240" w:lineRule="auto"/>
        <w:jc w:val="both"/>
      </w:pPr>
      <w:r>
        <w:rPr>
          <w:b/>
        </w:rPr>
        <w:t>EU izvještaj</w:t>
      </w:r>
    </w:p>
    <w:p w:rsidR="00F83447" w:rsidRDefault="0028555D" w:rsidP="00EE6A0C">
      <w:pPr>
        <w:jc w:val="both"/>
      </w:pPr>
      <w:r>
        <w:t>U izvještajnom razdoblju prihodi na skupini 638 povećani su za 3.585.231,21 eura (+152,90 %) u odnosu na isto razdoblje prethodne godine, prvenstveno zbog intenziviranja provedbe kapitalnog projekta financiranog sredstvima Europske unije. Tekuće pomoći (6381) smanjene su za 81.804,81 eura (-94,80 %). Smanjenje je posljedica isteka ugovornih obveza, budući da je tijekom poslovne 2025. godine većina pripravnika medicinske struke završila pripravnički staž. Preostala sredstva odnose s</w:t>
      </w:r>
      <w:bookmarkStart w:id="0" w:name="_GoBack"/>
      <w:bookmarkEnd w:id="0"/>
      <w:r>
        <w:t xml:space="preserve">e na jednu djelatnicu koja je, nakon korištenja </w:t>
      </w:r>
      <w:proofErr w:type="spellStart"/>
      <w:r>
        <w:t>rodiljnog</w:t>
      </w:r>
      <w:proofErr w:type="spellEnd"/>
      <w:r>
        <w:t xml:space="preserve"> dopusta, nastavila koristiti preostali dio ugovorenih sredstava tijekom poslovne 2026. godine. Do kraja izvještajnog razdoblja sva su sredstva iskorištena i opravdana u cijelosti. Kapitalne pomoći (6382) povećane su za 3.667.036,02 eura (+162,40 %) zbog provedbe projekta „Unapređenje kvalitete smještaja i sadržaja hotela Minerva“. Budući da se projekt nalazi u završnoj fazi provedbe, evidentiran je znatno veći priljev sredstava u skladu s dinamikom </w:t>
      </w:r>
      <w:r>
        <w:lastRenderedPageBreak/>
        <w:t>realizacije projekta i ispostavljenim situacijama. Rashodi i izdaci povezani s financiranjem plaća pripravnika medicinske struke smanjeni su za 94,80 % zbog isteka ugovora, odnosno izvršenja svih ugovornih obveza.</w:t>
      </w:r>
    </w:p>
    <w:p w:rsidR="001F2A9B" w:rsidRDefault="001F2A9B"/>
    <w:p w:rsidR="001F2A9B" w:rsidRPr="00CA585B" w:rsidRDefault="001F2A9B" w:rsidP="001F2A9B">
      <w:pPr>
        <w:spacing w:after="0" w:line="240" w:lineRule="auto"/>
        <w:jc w:val="both"/>
        <w:rPr>
          <w:rFonts w:eastAsia="Calibri"/>
          <w:szCs w:val="24"/>
          <w:lang w:eastAsia="en-US"/>
        </w:rPr>
      </w:pPr>
      <w:r w:rsidRPr="00CA585B">
        <w:rPr>
          <w:rFonts w:eastAsia="Calibri"/>
          <w:szCs w:val="24"/>
          <w:lang w:eastAsia="en-US"/>
        </w:rPr>
        <w:t>Varaždinske Toplice, 15.0</w:t>
      </w:r>
      <w:r>
        <w:rPr>
          <w:rFonts w:eastAsia="Calibri"/>
          <w:szCs w:val="24"/>
          <w:lang w:eastAsia="en-US"/>
        </w:rPr>
        <w:t>7</w:t>
      </w:r>
      <w:r w:rsidRPr="00CA585B">
        <w:rPr>
          <w:rFonts w:eastAsia="Calibri"/>
          <w:szCs w:val="24"/>
          <w:lang w:eastAsia="en-US"/>
        </w:rPr>
        <w:t>.2026.</w:t>
      </w:r>
    </w:p>
    <w:p w:rsidR="001F2A9B" w:rsidRPr="00CA585B" w:rsidRDefault="001F2A9B" w:rsidP="001F2A9B">
      <w:pPr>
        <w:spacing w:after="0" w:line="240" w:lineRule="auto"/>
        <w:jc w:val="both"/>
        <w:rPr>
          <w:rFonts w:eastAsia="Calibri"/>
          <w:i/>
          <w:szCs w:val="24"/>
          <w:u w:val="single"/>
          <w:lang w:eastAsia="en-US"/>
        </w:rPr>
      </w:pPr>
      <w:r w:rsidRPr="00CA585B">
        <w:rPr>
          <w:rFonts w:eastAsia="Calibri"/>
          <w:i/>
          <w:szCs w:val="24"/>
          <w:u w:val="single"/>
          <w:lang w:eastAsia="en-US"/>
        </w:rPr>
        <w:t>Osoba za kontakt:  Voditeljica odjela za financijske poslove, Spomenka Sakač, 042/633-384.</w:t>
      </w:r>
    </w:p>
    <w:p w:rsidR="001F2A9B" w:rsidRPr="00CA585B" w:rsidRDefault="001F2A9B" w:rsidP="001F2A9B">
      <w:pPr>
        <w:spacing w:after="0" w:line="276" w:lineRule="auto"/>
        <w:jc w:val="both"/>
        <w:rPr>
          <w:rFonts w:eastAsia="Calibri"/>
          <w:szCs w:val="24"/>
          <w:lang w:eastAsia="en-US"/>
        </w:rPr>
      </w:pPr>
      <w:r w:rsidRPr="00CA585B">
        <w:rPr>
          <w:rFonts w:eastAsia="Calibri"/>
          <w:szCs w:val="24"/>
          <w:lang w:eastAsia="en-US"/>
        </w:rPr>
        <w:t xml:space="preserve">                                                                                                                                  </w:t>
      </w:r>
    </w:p>
    <w:p w:rsidR="001F2A9B" w:rsidRPr="00CA585B" w:rsidRDefault="001F2A9B" w:rsidP="001F2A9B">
      <w:pPr>
        <w:spacing w:after="0" w:line="276" w:lineRule="auto"/>
        <w:jc w:val="right"/>
        <w:rPr>
          <w:rFonts w:eastAsia="Calibri"/>
          <w:szCs w:val="24"/>
          <w:lang w:eastAsia="en-US"/>
        </w:rPr>
      </w:pPr>
      <w:r w:rsidRPr="00CA585B">
        <w:rPr>
          <w:rFonts w:eastAsia="Calibri"/>
          <w:szCs w:val="24"/>
          <w:lang w:eastAsia="en-US"/>
        </w:rPr>
        <w:t xml:space="preserve">                                                                                                                                                 </w:t>
      </w:r>
      <w:r>
        <w:rPr>
          <w:rFonts w:eastAsia="Calibri"/>
          <w:szCs w:val="24"/>
          <w:lang w:eastAsia="en-US"/>
        </w:rPr>
        <w:t xml:space="preserve">                          </w:t>
      </w:r>
      <w:r w:rsidRPr="00CA585B">
        <w:rPr>
          <w:rFonts w:eastAsia="Calibri"/>
          <w:szCs w:val="24"/>
          <w:lang w:eastAsia="en-US"/>
        </w:rPr>
        <w:t>Ravnatelj:</w:t>
      </w:r>
    </w:p>
    <w:p w:rsidR="001F2A9B" w:rsidRPr="00CA585B" w:rsidRDefault="001F2A9B" w:rsidP="001F2A9B">
      <w:pPr>
        <w:spacing w:after="0" w:line="276" w:lineRule="auto"/>
        <w:jc w:val="both"/>
        <w:rPr>
          <w:rFonts w:eastAsia="Calibri"/>
          <w:szCs w:val="24"/>
          <w:lang w:eastAsia="en-US"/>
        </w:rPr>
      </w:pPr>
      <w:r w:rsidRPr="00CA585B">
        <w:rPr>
          <w:rFonts w:eastAsia="Calibri"/>
          <w:szCs w:val="24"/>
          <w:lang w:eastAsia="en-US"/>
        </w:rPr>
        <w:t xml:space="preserve">                                                                                                  </w:t>
      </w:r>
      <w:r>
        <w:rPr>
          <w:rFonts w:eastAsia="Calibri"/>
          <w:szCs w:val="24"/>
          <w:lang w:eastAsia="en-US"/>
        </w:rPr>
        <w:t xml:space="preserve">     </w:t>
      </w:r>
      <w:r w:rsidRPr="00CA585B">
        <w:rPr>
          <w:rFonts w:eastAsia="Calibri"/>
          <w:szCs w:val="24"/>
          <w:lang w:eastAsia="en-US"/>
        </w:rPr>
        <w:t xml:space="preserve">Denis Kovačić, dr. med. </w:t>
      </w:r>
      <w:proofErr w:type="spellStart"/>
      <w:r w:rsidRPr="00CA585B">
        <w:rPr>
          <w:rFonts w:eastAsia="Calibri"/>
          <w:szCs w:val="24"/>
          <w:lang w:eastAsia="en-US"/>
        </w:rPr>
        <w:t>spec</w:t>
      </w:r>
      <w:proofErr w:type="spellEnd"/>
      <w:r w:rsidRPr="00CA585B">
        <w:rPr>
          <w:rFonts w:eastAsia="Calibri"/>
          <w:szCs w:val="24"/>
          <w:lang w:eastAsia="en-US"/>
        </w:rPr>
        <w:t>.</w:t>
      </w:r>
    </w:p>
    <w:p w:rsidR="00F83447" w:rsidRDefault="00F83447"/>
    <w:sectPr w:rsidR="00F83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447"/>
    <w:rsid w:val="001E2CAF"/>
    <w:rsid w:val="001F2A9B"/>
    <w:rsid w:val="0028555D"/>
    <w:rsid w:val="00EE6A0C"/>
    <w:rsid w:val="00F834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E1EFF-0377-4EF2-92D7-60162490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112E9-3EAB-461F-8F3B-2EFB17C6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7056</Words>
  <Characters>40221</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Spomenka Sakač</dc:creator>
  <cp:lastModifiedBy>Spomenka Sakač</cp:lastModifiedBy>
  <cp:revision>4</cp:revision>
  <dcterms:created xsi:type="dcterms:W3CDTF">2026-07-15T12:33:00Z</dcterms:created>
  <dcterms:modified xsi:type="dcterms:W3CDTF">2026-07-16T06:58:00Z</dcterms:modified>
</cp:coreProperties>
</file>