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72F1D">
        <w:trPr>
          <w:tblCellSpacing w:w="60" w:type="dxa"/>
        </w:trPr>
        <w:tc>
          <w:tcPr>
            <w:tcW w:w="1200" w:type="pct"/>
            <w:shd w:val="clear" w:color="auto" w:fill="E7F0F9"/>
          </w:tcPr>
          <w:p w:rsidR="00C72F1D" w:rsidRDefault="001B7706">
            <w:pPr>
              <w:spacing w:after="0" w:line="240" w:lineRule="auto"/>
            </w:pPr>
            <w:r>
              <w:rPr>
                <w:b/>
              </w:rPr>
              <w:t>RKP broj</w:t>
            </w:r>
          </w:p>
        </w:tc>
        <w:tc>
          <w:tcPr>
            <w:tcW w:w="0" w:type="auto"/>
            <w:shd w:val="clear" w:color="auto" w:fill="E7F0F9"/>
          </w:tcPr>
          <w:p w:rsidR="00C72F1D" w:rsidRDefault="001B7706">
            <w:pPr>
              <w:spacing w:after="0" w:line="240" w:lineRule="auto"/>
            </w:pPr>
            <w:r>
              <w:t>40746</w:t>
            </w:r>
          </w:p>
        </w:tc>
      </w:tr>
      <w:tr w:rsidR="00C72F1D">
        <w:trPr>
          <w:tblCellSpacing w:w="60" w:type="dxa"/>
        </w:trPr>
        <w:tc>
          <w:tcPr>
            <w:tcW w:w="1200" w:type="pct"/>
            <w:shd w:val="clear" w:color="auto" w:fill="E7F0F9"/>
          </w:tcPr>
          <w:p w:rsidR="00C72F1D" w:rsidRDefault="001B7706">
            <w:pPr>
              <w:spacing w:after="0" w:line="240" w:lineRule="auto"/>
            </w:pPr>
            <w:r>
              <w:rPr>
                <w:b/>
              </w:rPr>
              <w:t>Naziv obveznika</w:t>
            </w:r>
          </w:p>
        </w:tc>
        <w:tc>
          <w:tcPr>
            <w:tcW w:w="0" w:type="auto"/>
            <w:shd w:val="clear" w:color="auto" w:fill="E7F0F9"/>
          </w:tcPr>
          <w:p w:rsidR="00C72F1D" w:rsidRDefault="001B7706">
            <w:pPr>
              <w:spacing w:after="0" w:line="240" w:lineRule="auto"/>
            </w:pPr>
            <w:r>
              <w:t>SPECIJALNA BOLNICA ZA MEDICINSKU REHABILITACIJU VARAŽDINSKE TOPLICE</w:t>
            </w:r>
          </w:p>
        </w:tc>
      </w:tr>
      <w:tr w:rsidR="00C72F1D">
        <w:trPr>
          <w:tblCellSpacing w:w="60" w:type="dxa"/>
        </w:trPr>
        <w:tc>
          <w:tcPr>
            <w:tcW w:w="1200" w:type="pct"/>
            <w:shd w:val="clear" w:color="auto" w:fill="E7F0F9"/>
          </w:tcPr>
          <w:p w:rsidR="00C72F1D" w:rsidRDefault="001B7706">
            <w:pPr>
              <w:spacing w:after="0" w:line="240" w:lineRule="auto"/>
            </w:pPr>
            <w:r>
              <w:rPr>
                <w:b/>
              </w:rPr>
              <w:t>Razina</w:t>
            </w:r>
          </w:p>
        </w:tc>
        <w:tc>
          <w:tcPr>
            <w:tcW w:w="0" w:type="auto"/>
            <w:shd w:val="clear" w:color="auto" w:fill="E7F0F9"/>
          </w:tcPr>
          <w:p w:rsidR="00C72F1D" w:rsidRDefault="001B7706">
            <w:pPr>
              <w:spacing w:after="0" w:line="240" w:lineRule="auto"/>
            </w:pPr>
            <w:r>
              <w:t>31</w:t>
            </w:r>
          </w:p>
        </w:tc>
      </w:tr>
    </w:tbl>
    <w:p w:rsidR="00C72F1D" w:rsidRDefault="001B7706">
      <w:r>
        <w:br/>
      </w:r>
    </w:p>
    <w:p w:rsidR="00C72F1D" w:rsidRDefault="001B7706">
      <w:pPr>
        <w:spacing w:line="240" w:lineRule="auto"/>
        <w:jc w:val="center"/>
      </w:pPr>
      <w:r>
        <w:rPr>
          <w:b/>
          <w:sz w:val="28"/>
        </w:rPr>
        <w:t>BILJEŠKE UZ FINANCIJSKE IZVJEŠTAJE</w:t>
      </w:r>
    </w:p>
    <w:p w:rsidR="00C72F1D" w:rsidRDefault="001B7706">
      <w:pPr>
        <w:spacing w:line="240" w:lineRule="auto"/>
        <w:jc w:val="center"/>
      </w:pPr>
      <w:r>
        <w:rPr>
          <w:b/>
          <w:sz w:val="28"/>
        </w:rPr>
        <w:t>ZA RAZDOBLJE</w:t>
      </w:r>
    </w:p>
    <w:p w:rsidR="00C72F1D" w:rsidRDefault="001B7706">
      <w:pPr>
        <w:spacing w:line="240" w:lineRule="auto"/>
        <w:jc w:val="center"/>
      </w:pPr>
      <w:r>
        <w:rPr>
          <w:b/>
          <w:sz w:val="28"/>
        </w:rPr>
        <w:t>I - III 2026.</w:t>
      </w:r>
    </w:p>
    <w:p w:rsidR="00C72F1D" w:rsidRDefault="00C72F1D"/>
    <w:p w:rsidR="00C72F1D" w:rsidRDefault="001B7706">
      <w:pPr>
        <w:keepNext/>
        <w:spacing w:line="240" w:lineRule="auto"/>
        <w:jc w:val="center"/>
      </w:pPr>
      <w:r>
        <w:rPr>
          <w:b/>
          <w:sz w:val="28"/>
        </w:rPr>
        <w:t>Izvještaj o prihodima i rashodima, primicima i izdacima</w:t>
      </w:r>
    </w:p>
    <w:p w:rsidR="00C72F1D" w:rsidRDefault="001B7706">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w:t>
            </w:r>
          </w:p>
        </w:tc>
        <w:tc>
          <w:tcPr>
            <w:tcW w:w="3180" w:type="dxa"/>
            <w:tcMar>
              <w:top w:w="0" w:type="dxa"/>
              <w:bottom w:w="0" w:type="dxa"/>
            </w:tcMar>
            <w:vAlign w:val="center"/>
          </w:tcPr>
          <w:p w:rsidR="00C72F1D" w:rsidRDefault="001B7706">
            <w:pPr>
              <w:keepNext/>
              <w:keepLines/>
              <w:spacing w:after="0" w:line="240" w:lineRule="auto"/>
            </w:pPr>
            <w:r>
              <w:rPr>
                <w:sz w:val="18"/>
              </w:rPr>
              <w:t>PRIHODI POSLOVANJA (šifre 61+62+63+64+65+66+67+68)</w:t>
            </w:r>
          </w:p>
        </w:tc>
        <w:tc>
          <w:tcPr>
            <w:tcW w:w="700" w:type="dxa"/>
            <w:tcMar>
              <w:top w:w="0" w:type="dxa"/>
              <w:bottom w:w="0" w:type="dxa"/>
            </w:tcMar>
            <w:vAlign w:val="center"/>
          </w:tcPr>
          <w:p w:rsidR="00C72F1D" w:rsidRDefault="001B7706">
            <w:pPr>
              <w:keepNext/>
              <w:keepLines/>
              <w:spacing w:after="0" w:line="240" w:lineRule="auto"/>
            </w:pPr>
            <w:r>
              <w:rPr>
                <w:sz w:val="18"/>
              </w:rPr>
              <w:t>6</w:t>
            </w:r>
          </w:p>
        </w:tc>
        <w:tc>
          <w:tcPr>
            <w:tcW w:w="1860" w:type="dxa"/>
            <w:tcMar>
              <w:top w:w="0" w:type="dxa"/>
              <w:bottom w:w="0" w:type="dxa"/>
            </w:tcMar>
            <w:vAlign w:val="center"/>
          </w:tcPr>
          <w:p w:rsidR="00C72F1D" w:rsidRDefault="001B7706">
            <w:pPr>
              <w:keepNext/>
              <w:keepLines/>
              <w:spacing w:after="0" w:line="240" w:lineRule="auto"/>
              <w:jc w:val="right"/>
            </w:pPr>
            <w:r>
              <w:rPr>
                <w:sz w:val="18"/>
              </w:rPr>
              <w:t>5.712.593,37</w:t>
            </w:r>
          </w:p>
        </w:tc>
        <w:tc>
          <w:tcPr>
            <w:tcW w:w="1860" w:type="dxa"/>
            <w:tcMar>
              <w:top w:w="0" w:type="dxa"/>
              <w:bottom w:w="0" w:type="dxa"/>
            </w:tcMar>
            <w:vAlign w:val="center"/>
          </w:tcPr>
          <w:p w:rsidR="00C72F1D" w:rsidRDefault="001B7706">
            <w:pPr>
              <w:keepNext/>
              <w:keepLines/>
              <w:spacing w:after="0" w:line="240" w:lineRule="auto"/>
              <w:jc w:val="right"/>
            </w:pPr>
            <w:r>
              <w:rPr>
                <w:sz w:val="18"/>
              </w:rPr>
              <w:t>11.374.569,45</w:t>
            </w:r>
          </w:p>
        </w:tc>
        <w:tc>
          <w:tcPr>
            <w:tcW w:w="700" w:type="dxa"/>
            <w:tcMar>
              <w:top w:w="0" w:type="dxa"/>
              <w:bottom w:w="0" w:type="dxa"/>
            </w:tcMar>
            <w:vAlign w:val="center"/>
          </w:tcPr>
          <w:p w:rsidR="00C72F1D" w:rsidRDefault="001B7706">
            <w:pPr>
              <w:keepNext/>
              <w:keepLines/>
              <w:spacing w:after="0" w:line="240" w:lineRule="auto"/>
              <w:jc w:val="right"/>
            </w:pPr>
            <w:r>
              <w:rPr>
                <w:sz w:val="18"/>
              </w:rPr>
              <w:t>199,1</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w:t>
            </w:r>
          </w:p>
        </w:tc>
        <w:tc>
          <w:tcPr>
            <w:tcW w:w="3180" w:type="dxa"/>
            <w:tcMar>
              <w:top w:w="0" w:type="dxa"/>
              <w:bottom w:w="0" w:type="dxa"/>
            </w:tcMar>
            <w:vAlign w:val="center"/>
          </w:tcPr>
          <w:p w:rsidR="00C72F1D" w:rsidRDefault="001B7706">
            <w:pPr>
              <w:keepNext/>
              <w:keepLines/>
              <w:spacing w:after="0" w:line="240" w:lineRule="auto"/>
            </w:pPr>
            <w:r>
              <w:rPr>
                <w:sz w:val="18"/>
              </w:rPr>
              <w:t>RASHODI POSLOVANJA (šifre 31+32+34+35+36+37+38)</w:t>
            </w:r>
          </w:p>
        </w:tc>
        <w:tc>
          <w:tcPr>
            <w:tcW w:w="700" w:type="dxa"/>
            <w:tcMar>
              <w:top w:w="0" w:type="dxa"/>
              <w:bottom w:w="0" w:type="dxa"/>
            </w:tcMar>
            <w:vAlign w:val="center"/>
          </w:tcPr>
          <w:p w:rsidR="00C72F1D" w:rsidRDefault="001B7706">
            <w:pPr>
              <w:keepNext/>
              <w:keepLines/>
              <w:spacing w:after="0" w:line="240" w:lineRule="auto"/>
            </w:pPr>
            <w:r>
              <w:rPr>
                <w:sz w:val="18"/>
              </w:rPr>
              <w:t>3</w:t>
            </w:r>
          </w:p>
        </w:tc>
        <w:tc>
          <w:tcPr>
            <w:tcW w:w="1860" w:type="dxa"/>
            <w:tcMar>
              <w:top w:w="0" w:type="dxa"/>
              <w:bottom w:w="0" w:type="dxa"/>
            </w:tcMar>
            <w:vAlign w:val="center"/>
          </w:tcPr>
          <w:p w:rsidR="00C72F1D" w:rsidRDefault="001B7706">
            <w:pPr>
              <w:keepNext/>
              <w:keepLines/>
              <w:spacing w:after="0" w:line="240" w:lineRule="auto"/>
              <w:jc w:val="right"/>
            </w:pPr>
            <w:r>
              <w:rPr>
                <w:sz w:val="18"/>
              </w:rPr>
              <w:t>6.160.417,46</w:t>
            </w:r>
          </w:p>
        </w:tc>
        <w:tc>
          <w:tcPr>
            <w:tcW w:w="1860" w:type="dxa"/>
            <w:tcMar>
              <w:top w:w="0" w:type="dxa"/>
              <w:bottom w:w="0" w:type="dxa"/>
            </w:tcMar>
            <w:vAlign w:val="center"/>
          </w:tcPr>
          <w:p w:rsidR="00C72F1D" w:rsidRDefault="001B7706">
            <w:pPr>
              <w:keepNext/>
              <w:keepLines/>
              <w:spacing w:after="0" w:line="240" w:lineRule="auto"/>
              <w:jc w:val="right"/>
            </w:pPr>
            <w:r>
              <w:rPr>
                <w:sz w:val="18"/>
              </w:rPr>
              <w:t>6.107.114,80</w:t>
            </w:r>
          </w:p>
        </w:tc>
        <w:tc>
          <w:tcPr>
            <w:tcW w:w="700" w:type="dxa"/>
            <w:tcMar>
              <w:top w:w="0" w:type="dxa"/>
              <w:bottom w:w="0" w:type="dxa"/>
            </w:tcMar>
            <w:vAlign w:val="center"/>
          </w:tcPr>
          <w:p w:rsidR="00C72F1D" w:rsidRDefault="001B7706">
            <w:pPr>
              <w:keepNext/>
              <w:keepLines/>
              <w:spacing w:after="0" w:line="240" w:lineRule="auto"/>
              <w:jc w:val="right"/>
            </w:pPr>
            <w:r>
              <w:rPr>
                <w:sz w:val="18"/>
              </w:rPr>
              <w:t>99,1</w:t>
            </w:r>
          </w:p>
        </w:tc>
      </w:tr>
      <w:tr w:rsidR="00C72F1D">
        <w:trPr>
          <w:cantSplit/>
          <w:trHeight w:val="560"/>
        </w:trPr>
        <w:tc>
          <w:tcPr>
            <w:tcW w:w="700" w:type="dxa"/>
            <w:tcMar>
              <w:top w:w="0" w:type="dxa"/>
              <w:bottom w:w="0" w:type="dxa"/>
            </w:tcMar>
            <w:vAlign w:val="center"/>
          </w:tcPr>
          <w:p w:rsidR="00C72F1D" w:rsidRDefault="00C72F1D">
            <w:pPr>
              <w:keepNext/>
              <w:keepLines/>
              <w:spacing w:after="0" w:line="240" w:lineRule="auto"/>
            </w:pPr>
          </w:p>
        </w:tc>
        <w:tc>
          <w:tcPr>
            <w:tcW w:w="3180" w:type="dxa"/>
            <w:tcMar>
              <w:top w:w="0" w:type="dxa"/>
              <w:bottom w:w="0" w:type="dxa"/>
            </w:tcMar>
            <w:vAlign w:val="center"/>
          </w:tcPr>
          <w:p w:rsidR="00C72F1D" w:rsidRDefault="001B7706">
            <w:pPr>
              <w:keepNext/>
              <w:keepLines/>
              <w:spacing w:after="0" w:line="240" w:lineRule="auto"/>
            </w:pPr>
            <w:r>
              <w:rPr>
                <w:b/>
                <w:sz w:val="18"/>
              </w:rPr>
              <w:t>VIŠAK PRIHODA POSLOVANJA (šifre 6-Z005)</w:t>
            </w:r>
          </w:p>
        </w:tc>
        <w:tc>
          <w:tcPr>
            <w:tcW w:w="700" w:type="dxa"/>
            <w:tcMar>
              <w:top w:w="0" w:type="dxa"/>
              <w:bottom w:w="0" w:type="dxa"/>
            </w:tcMar>
            <w:vAlign w:val="center"/>
          </w:tcPr>
          <w:p w:rsidR="00C72F1D" w:rsidRDefault="001B7706">
            <w:pPr>
              <w:keepNext/>
              <w:keepLines/>
              <w:spacing w:after="0" w:line="240" w:lineRule="auto"/>
            </w:pPr>
            <w:r>
              <w:rPr>
                <w:b/>
                <w:sz w:val="18"/>
              </w:rPr>
              <w:t>X001</w:t>
            </w:r>
          </w:p>
        </w:tc>
        <w:tc>
          <w:tcPr>
            <w:tcW w:w="1860" w:type="dxa"/>
            <w:tcMar>
              <w:top w:w="0" w:type="dxa"/>
              <w:bottom w:w="0" w:type="dxa"/>
            </w:tcMar>
            <w:vAlign w:val="center"/>
          </w:tcPr>
          <w:p w:rsidR="00C72F1D" w:rsidRDefault="001B7706">
            <w:pPr>
              <w:keepNext/>
              <w:keepLines/>
              <w:spacing w:after="0" w:line="240" w:lineRule="auto"/>
              <w:jc w:val="right"/>
            </w:pPr>
            <w:r>
              <w:rPr>
                <w:b/>
                <w:sz w:val="18"/>
              </w:rPr>
              <w:t>0,00</w:t>
            </w:r>
          </w:p>
        </w:tc>
        <w:tc>
          <w:tcPr>
            <w:tcW w:w="1860" w:type="dxa"/>
            <w:tcMar>
              <w:top w:w="0" w:type="dxa"/>
              <w:bottom w:w="0" w:type="dxa"/>
            </w:tcMar>
            <w:vAlign w:val="center"/>
          </w:tcPr>
          <w:p w:rsidR="00C72F1D" w:rsidRDefault="001B7706">
            <w:pPr>
              <w:keepNext/>
              <w:keepLines/>
              <w:spacing w:after="0" w:line="240" w:lineRule="auto"/>
              <w:jc w:val="right"/>
            </w:pPr>
            <w:r>
              <w:rPr>
                <w:b/>
                <w:sz w:val="18"/>
              </w:rPr>
              <w:t>5.267.454,65</w:t>
            </w:r>
          </w:p>
        </w:tc>
        <w:tc>
          <w:tcPr>
            <w:tcW w:w="700" w:type="dxa"/>
            <w:tcMar>
              <w:top w:w="0" w:type="dxa"/>
              <w:bottom w:w="0" w:type="dxa"/>
            </w:tcMar>
            <w:vAlign w:val="center"/>
          </w:tcPr>
          <w:p w:rsidR="00C72F1D" w:rsidRDefault="001B7706">
            <w:pPr>
              <w:keepNext/>
              <w:keepLines/>
              <w:spacing w:after="0" w:line="240" w:lineRule="auto"/>
              <w:jc w:val="right"/>
            </w:pPr>
            <w:r>
              <w:rPr>
                <w:b/>
                <w:sz w:val="18"/>
              </w:rPr>
              <w:t>-</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7</w:t>
            </w:r>
          </w:p>
        </w:tc>
        <w:tc>
          <w:tcPr>
            <w:tcW w:w="3180" w:type="dxa"/>
            <w:tcMar>
              <w:top w:w="0" w:type="dxa"/>
              <w:bottom w:w="0" w:type="dxa"/>
            </w:tcMar>
            <w:vAlign w:val="center"/>
          </w:tcPr>
          <w:p w:rsidR="00C72F1D" w:rsidRDefault="001B7706">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C72F1D" w:rsidRDefault="001B7706">
            <w:pPr>
              <w:keepNext/>
              <w:keepLines/>
              <w:spacing w:after="0" w:line="240" w:lineRule="auto"/>
            </w:pPr>
            <w:r>
              <w:rPr>
                <w:sz w:val="18"/>
              </w:rPr>
              <w:t>7</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700" w:type="dxa"/>
            <w:tcMar>
              <w:top w:w="0" w:type="dxa"/>
              <w:bottom w:w="0" w:type="dxa"/>
            </w:tcMar>
            <w:vAlign w:val="center"/>
          </w:tcPr>
          <w:p w:rsidR="00C72F1D" w:rsidRDefault="001B7706">
            <w:pPr>
              <w:keepNext/>
              <w:keepLines/>
              <w:spacing w:after="0" w:line="240" w:lineRule="auto"/>
              <w:jc w:val="right"/>
            </w:pPr>
            <w:r>
              <w:rPr>
                <w:sz w:val="18"/>
              </w:rPr>
              <w:t>-</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4</w:t>
            </w:r>
          </w:p>
        </w:tc>
        <w:tc>
          <w:tcPr>
            <w:tcW w:w="3180" w:type="dxa"/>
            <w:tcMar>
              <w:top w:w="0" w:type="dxa"/>
              <w:bottom w:w="0" w:type="dxa"/>
            </w:tcMar>
            <w:vAlign w:val="center"/>
          </w:tcPr>
          <w:p w:rsidR="00C72F1D" w:rsidRDefault="001B770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C72F1D" w:rsidRDefault="001B7706">
            <w:pPr>
              <w:keepNext/>
              <w:keepLines/>
              <w:spacing w:after="0" w:line="240" w:lineRule="auto"/>
            </w:pPr>
            <w:r>
              <w:rPr>
                <w:sz w:val="18"/>
              </w:rPr>
              <w:t>4</w:t>
            </w:r>
          </w:p>
        </w:tc>
        <w:tc>
          <w:tcPr>
            <w:tcW w:w="1860" w:type="dxa"/>
            <w:tcMar>
              <w:top w:w="0" w:type="dxa"/>
              <w:bottom w:w="0" w:type="dxa"/>
            </w:tcMar>
            <w:vAlign w:val="center"/>
          </w:tcPr>
          <w:p w:rsidR="00C72F1D" w:rsidRDefault="001B7706">
            <w:pPr>
              <w:keepNext/>
              <w:keepLines/>
              <w:spacing w:after="0" w:line="240" w:lineRule="auto"/>
              <w:jc w:val="right"/>
            </w:pPr>
            <w:r>
              <w:rPr>
                <w:sz w:val="18"/>
              </w:rPr>
              <w:t>868.462,13</w:t>
            </w:r>
          </w:p>
        </w:tc>
        <w:tc>
          <w:tcPr>
            <w:tcW w:w="1860" w:type="dxa"/>
            <w:tcMar>
              <w:top w:w="0" w:type="dxa"/>
              <w:bottom w:w="0" w:type="dxa"/>
            </w:tcMar>
            <w:vAlign w:val="center"/>
          </w:tcPr>
          <w:p w:rsidR="00C72F1D" w:rsidRDefault="001B7706">
            <w:pPr>
              <w:keepNext/>
              <w:keepLines/>
              <w:spacing w:after="0" w:line="240" w:lineRule="auto"/>
              <w:jc w:val="right"/>
            </w:pPr>
            <w:r>
              <w:rPr>
                <w:sz w:val="18"/>
              </w:rPr>
              <w:t>6.167.915,91</w:t>
            </w:r>
          </w:p>
        </w:tc>
        <w:tc>
          <w:tcPr>
            <w:tcW w:w="700" w:type="dxa"/>
            <w:tcMar>
              <w:top w:w="0" w:type="dxa"/>
              <w:bottom w:w="0" w:type="dxa"/>
            </w:tcMar>
            <w:vAlign w:val="center"/>
          </w:tcPr>
          <w:p w:rsidR="00C72F1D" w:rsidRDefault="001B7706">
            <w:pPr>
              <w:keepNext/>
              <w:keepLines/>
              <w:spacing w:after="0" w:line="240" w:lineRule="auto"/>
              <w:jc w:val="right"/>
            </w:pPr>
            <w:r>
              <w:rPr>
                <w:sz w:val="18"/>
              </w:rPr>
              <w:t>710,2</w:t>
            </w:r>
          </w:p>
        </w:tc>
      </w:tr>
      <w:tr w:rsidR="00C72F1D">
        <w:trPr>
          <w:cantSplit/>
          <w:trHeight w:val="560"/>
        </w:trPr>
        <w:tc>
          <w:tcPr>
            <w:tcW w:w="700" w:type="dxa"/>
            <w:tcMar>
              <w:top w:w="0" w:type="dxa"/>
              <w:bottom w:w="0" w:type="dxa"/>
            </w:tcMar>
            <w:vAlign w:val="center"/>
          </w:tcPr>
          <w:p w:rsidR="00C72F1D" w:rsidRDefault="00C72F1D">
            <w:pPr>
              <w:keepNext/>
              <w:keepLines/>
              <w:spacing w:after="0" w:line="240" w:lineRule="auto"/>
            </w:pPr>
          </w:p>
        </w:tc>
        <w:tc>
          <w:tcPr>
            <w:tcW w:w="3180" w:type="dxa"/>
            <w:tcMar>
              <w:top w:w="0" w:type="dxa"/>
              <w:bottom w:w="0" w:type="dxa"/>
            </w:tcMar>
            <w:vAlign w:val="center"/>
          </w:tcPr>
          <w:p w:rsidR="00C72F1D" w:rsidRDefault="001B7706">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C72F1D" w:rsidRDefault="001B7706">
            <w:pPr>
              <w:keepNext/>
              <w:keepLines/>
              <w:spacing w:after="0" w:line="240" w:lineRule="auto"/>
            </w:pPr>
            <w:r>
              <w:rPr>
                <w:b/>
                <w:sz w:val="18"/>
              </w:rPr>
              <w:t>Y002</w:t>
            </w:r>
          </w:p>
        </w:tc>
        <w:tc>
          <w:tcPr>
            <w:tcW w:w="1860" w:type="dxa"/>
            <w:tcMar>
              <w:top w:w="0" w:type="dxa"/>
              <w:bottom w:w="0" w:type="dxa"/>
            </w:tcMar>
            <w:vAlign w:val="center"/>
          </w:tcPr>
          <w:p w:rsidR="00C72F1D" w:rsidRDefault="001B7706">
            <w:pPr>
              <w:keepNext/>
              <w:keepLines/>
              <w:spacing w:after="0" w:line="240" w:lineRule="auto"/>
              <w:jc w:val="right"/>
            </w:pPr>
            <w:r>
              <w:rPr>
                <w:b/>
                <w:sz w:val="18"/>
              </w:rPr>
              <w:t>868.462,13</w:t>
            </w:r>
          </w:p>
        </w:tc>
        <w:tc>
          <w:tcPr>
            <w:tcW w:w="1860" w:type="dxa"/>
            <w:tcMar>
              <w:top w:w="0" w:type="dxa"/>
              <w:bottom w:w="0" w:type="dxa"/>
            </w:tcMar>
            <w:vAlign w:val="center"/>
          </w:tcPr>
          <w:p w:rsidR="00C72F1D" w:rsidRDefault="001B7706">
            <w:pPr>
              <w:keepNext/>
              <w:keepLines/>
              <w:spacing w:after="0" w:line="240" w:lineRule="auto"/>
              <w:jc w:val="right"/>
            </w:pPr>
            <w:r>
              <w:rPr>
                <w:b/>
                <w:sz w:val="18"/>
              </w:rPr>
              <w:t>6.167.915,91</w:t>
            </w:r>
          </w:p>
        </w:tc>
        <w:tc>
          <w:tcPr>
            <w:tcW w:w="700" w:type="dxa"/>
            <w:tcMar>
              <w:top w:w="0" w:type="dxa"/>
              <w:bottom w:w="0" w:type="dxa"/>
            </w:tcMar>
            <w:vAlign w:val="center"/>
          </w:tcPr>
          <w:p w:rsidR="00C72F1D" w:rsidRDefault="001B7706">
            <w:pPr>
              <w:keepNext/>
              <w:keepLines/>
              <w:spacing w:after="0" w:line="240" w:lineRule="auto"/>
              <w:jc w:val="right"/>
            </w:pPr>
            <w:r>
              <w:rPr>
                <w:b/>
                <w:sz w:val="18"/>
              </w:rPr>
              <w:t>710,2</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8</w:t>
            </w:r>
          </w:p>
        </w:tc>
        <w:tc>
          <w:tcPr>
            <w:tcW w:w="3180" w:type="dxa"/>
            <w:tcMar>
              <w:top w:w="0" w:type="dxa"/>
              <w:bottom w:w="0" w:type="dxa"/>
            </w:tcMar>
            <w:vAlign w:val="center"/>
          </w:tcPr>
          <w:p w:rsidR="00C72F1D" w:rsidRDefault="001B770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C72F1D" w:rsidRDefault="001B7706">
            <w:pPr>
              <w:keepNext/>
              <w:keepLines/>
              <w:spacing w:after="0" w:line="240" w:lineRule="auto"/>
            </w:pPr>
            <w:r>
              <w:rPr>
                <w:sz w:val="18"/>
              </w:rPr>
              <w:t>8</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1860" w:type="dxa"/>
            <w:tcMar>
              <w:top w:w="0" w:type="dxa"/>
              <w:bottom w:w="0" w:type="dxa"/>
            </w:tcMar>
            <w:vAlign w:val="center"/>
          </w:tcPr>
          <w:p w:rsidR="00C72F1D" w:rsidRDefault="001B7706">
            <w:pPr>
              <w:keepNext/>
              <w:keepLines/>
              <w:spacing w:after="0" w:line="240" w:lineRule="auto"/>
              <w:jc w:val="right"/>
            </w:pPr>
            <w:r>
              <w:rPr>
                <w:sz w:val="18"/>
              </w:rPr>
              <w:t>3.269.710,51</w:t>
            </w:r>
          </w:p>
        </w:tc>
        <w:tc>
          <w:tcPr>
            <w:tcW w:w="700" w:type="dxa"/>
            <w:tcMar>
              <w:top w:w="0" w:type="dxa"/>
              <w:bottom w:w="0" w:type="dxa"/>
            </w:tcMar>
            <w:vAlign w:val="center"/>
          </w:tcPr>
          <w:p w:rsidR="00C72F1D" w:rsidRDefault="001B7706">
            <w:pPr>
              <w:keepNext/>
              <w:keepLines/>
              <w:spacing w:after="0" w:line="240" w:lineRule="auto"/>
              <w:jc w:val="right"/>
            </w:pPr>
            <w:r>
              <w:rPr>
                <w:sz w:val="18"/>
              </w:rPr>
              <w:t>-</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5</w:t>
            </w:r>
          </w:p>
        </w:tc>
        <w:tc>
          <w:tcPr>
            <w:tcW w:w="3180" w:type="dxa"/>
            <w:tcMar>
              <w:top w:w="0" w:type="dxa"/>
              <w:bottom w:w="0" w:type="dxa"/>
            </w:tcMar>
            <w:vAlign w:val="center"/>
          </w:tcPr>
          <w:p w:rsidR="00C72F1D" w:rsidRDefault="001B7706">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C72F1D" w:rsidRDefault="001B7706">
            <w:pPr>
              <w:keepNext/>
              <w:keepLines/>
              <w:spacing w:after="0" w:line="240" w:lineRule="auto"/>
            </w:pPr>
            <w:r>
              <w:rPr>
                <w:sz w:val="18"/>
              </w:rPr>
              <w:t>5</w:t>
            </w:r>
          </w:p>
        </w:tc>
        <w:tc>
          <w:tcPr>
            <w:tcW w:w="1860" w:type="dxa"/>
            <w:tcMar>
              <w:top w:w="0" w:type="dxa"/>
              <w:bottom w:w="0" w:type="dxa"/>
            </w:tcMar>
            <w:vAlign w:val="center"/>
          </w:tcPr>
          <w:p w:rsidR="00C72F1D" w:rsidRDefault="001B7706">
            <w:pPr>
              <w:keepNext/>
              <w:keepLines/>
              <w:spacing w:after="0" w:line="240" w:lineRule="auto"/>
              <w:jc w:val="right"/>
            </w:pPr>
            <w:r>
              <w:rPr>
                <w:sz w:val="18"/>
              </w:rPr>
              <w:t>195.461,97</w:t>
            </w:r>
          </w:p>
        </w:tc>
        <w:tc>
          <w:tcPr>
            <w:tcW w:w="1860" w:type="dxa"/>
            <w:tcMar>
              <w:top w:w="0" w:type="dxa"/>
              <w:bottom w:w="0" w:type="dxa"/>
            </w:tcMar>
            <w:vAlign w:val="center"/>
          </w:tcPr>
          <w:p w:rsidR="00C72F1D" w:rsidRDefault="001B7706">
            <w:pPr>
              <w:keepNext/>
              <w:keepLines/>
              <w:spacing w:after="0" w:line="240" w:lineRule="auto"/>
              <w:jc w:val="right"/>
            </w:pPr>
            <w:r>
              <w:rPr>
                <w:sz w:val="18"/>
              </w:rPr>
              <w:t>296.272,99</w:t>
            </w:r>
          </w:p>
        </w:tc>
        <w:tc>
          <w:tcPr>
            <w:tcW w:w="700" w:type="dxa"/>
            <w:tcMar>
              <w:top w:w="0" w:type="dxa"/>
              <w:bottom w:w="0" w:type="dxa"/>
            </w:tcMar>
            <w:vAlign w:val="center"/>
          </w:tcPr>
          <w:p w:rsidR="00C72F1D" w:rsidRDefault="001B7706">
            <w:pPr>
              <w:keepNext/>
              <w:keepLines/>
              <w:spacing w:after="0" w:line="240" w:lineRule="auto"/>
              <w:jc w:val="right"/>
            </w:pPr>
            <w:r>
              <w:rPr>
                <w:sz w:val="18"/>
              </w:rPr>
              <w:t>151,6</w:t>
            </w:r>
          </w:p>
        </w:tc>
      </w:tr>
      <w:tr w:rsidR="00C72F1D">
        <w:trPr>
          <w:cantSplit/>
          <w:trHeight w:val="560"/>
        </w:trPr>
        <w:tc>
          <w:tcPr>
            <w:tcW w:w="700" w:type="dxa"/>
            <w:tcMar>
              <w:top w:w="0" w:type="dxa"/>
              <w:bottom w:w="0" w:type="dxa"/>
            </w:tcMar>
            <w:vAlign w:val="center"/>
          </w:tcPr>
          <w:p w:rsidR="00C72F1D" w:rsidRDefault="00C72F1D">
            <w:pPr>
              <w:keepNext/>
              <w:keepLines/>
              <w:spacing w:after="0" w:line="240" w:lineRule="auto"/>
            </w:pPr>
          </w:p>
        </w:tc>
        <w:tc>
          <w:tcPr>
            <w:tcW w:w="3180" w:type="dxa"/>
            <w:tcMar>
              <w:top w:w="0" w:type="dxa"/>
              <w:bottom w:w="0" w:type="dxa"/>
            </w:tcMar>
            <w:vAlign w:val="center"/>
          </w:tcPr>
          <w:p w:rsidR="00C72F1D" w:rsidRDefault="001B7706">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C72F1D" w:rsidRDefault="001B7706">
            <w:pPr>
              <w:keepNext/>
              <w:keepLines/>
              <w:spacing w:after="0" w:line="240" w:lineRule="auto"/>
            </w:pPr>
            <w:r>
              <w:rPr>
                <w:b/>
                <w:sz w:val="18"/>
              </w:rPr>
              <w:t>X003</w:t>
            </w:r>
          </w:p>
        </w:tc>
        <w:tc>
          <w:tcPr>
            <w:tcW w:w="1860" w:type="dxa"/>
            <w:tcMar>
              <w:top w:w="0" w:type="dxa"/>
              <w:bottom w:w="0" w:type="dxa"/>
            </w:tcMar>
            <w:vAlign w:val="center"/>
          </w:tcPr>
          <w:p w:rsidR="00C72F1D" w:rsidRDefault="001B7706">
            <w:pPr>
              <w:keepNext/>
              <w:keepLines/>
              <w:spacing w:after="0" w:line="240" w:lineRule="auto"/>
              <w:jc w:val="right"/>
            </w:pPr>
            <w:r>
              <w:rPr>
                <w:b/>
                <w:sz w:val="18"/>
              </w:rPr>
              <w:t>0,00</w:t>
            </w:r>
          </w:p>
        </w:tc>
        <w:tc>
          <w:tcPr>
            <w:tcW w:w="1860" w:type="dxa"/>
            <w:tcMar>
              <w:top w:w="0" w:type="dxa"/>
              <w:bottom w:w="0" w:type="dxa"/>
            </w:tcMar>
            <w:vAlign w:val="center"/>
          </w:tcPr>
          <w:p w:rsidR="00C72F1D" w:rsidRDefault="001B7706">
            <w:pPr>
              <w:keepNext/>
              <w:keepLines/>
              <w:spacing w:after="0" w:line="240" w:lineRule="auto"/>
              <w:jc w:val="right"/>
            </w:pPr>
            <w:r>
              <w:rPr>
                <w:b/>
                <w:sz w:val="18"/>
              </w:rPr>
              <w:t>2.973.437,52</w:t>
            </w:r>
          </w:p>
        </w:tc>
        <w:tc>
          <w:tcPr>
            <w:tcW w:w="700" w:type="dxa"/>
            <w:tcMar>
              <w:top w:w="0" w:type="dxa"/>
              <w:bottom w:w="0" w:type="dxa"/>
            </w:tcMar>
            <w:vAlign w:val="center"/>
          </w:tcPr>
          <w:p w:rsidR="00C72F1D" w:rsidRDefault="001B7706">
            <w:pPr>
              <w:keepNext/>
              <w:keepLines/>
              <w:spacing w:after="0" w:line="240" w:lineRule="auto"/>
              <w:jc w:val="right"/>
            </w:pPr>
            <w:r>
              <w:rPr>
                <w:b/>
                <w:sz w:val="18"/>
              </w:rPr>
              <w:t>-</w:t>
            </w:r>
          </w:p>
        </w:tc>
      </w:tr>
      <w:tr w:rsidR="00C72F1D">
        <w:trPr>
          <w:cantSplit/>
          <w:trHeight w:val="560"/>
        </w:trPr>
        <w:tc>
          <w:tcPr>
            <w:tcW w:w="700" w:type="dxa"/>
            <w:tcMar>
              <w:top w:w="0" w:type="dxa"/>
              <w:bottom w:w="0" w:type="dxa"/>
            </w:tcMar>
            <w:vAlign w:val="center"/>
          </w:tcPr>
          <w:p w:rsidR="00C72F1D" w:rsidRDefault="00C72F1D">
            <w:pPr>
              <w:keepNext/>
              <w:keepLines/>
              <w:spacing w:after="0" w:line="240" w:lineRule="auto"/>
            </w:pPr>
          </w:p>
        </w:tc>
        <w:tc>
          <w:tcPr>
            <w:tcW w:w="3180" w:type="dxa"/>
            <w:tcMar>
              <w:top w:w="0" w:type="dxa"/>
              <w:bottom w:w="0" w:type="dxa"/>
            </w:tcMar>
            <w:vAlign w:val="center"/>
          </w:tcPr>
          <w:p w:rsidR="00C72F1D" w:rsidRDefault="001B7706">
            <w:pPr>
              <w:keepNext/>
              <w:keepLines/>
              <w:spacing w:after="0" w:line="240" w:lineRule="auto"/>
            </w:pPr>
            <w:r>
              <w:rPr>
                <w:b/>
                <w:sz w:val="18"/>
              </w:rPr>
              <w:t>VIŠAK PRIHODA I PRIMITAKA (šifre X678-Y345)</w:t>
            </w:r>
          </w:p>
        </w:tc>
        <w:tc>
          <w:tcPr>
            <w:tcW w:w="700" w:type="dxa"/>
            <w:tcMar>
              <w:top w:w="0" w:type="dxa"/>
              <w:bottom w:w="0" w:type="dxa"/>
            </w:tcMar>
            <w:vAlign w:val="center"/>
          </w:tcPr>
          <w:p w:rsidR="00C72F1D" w:rsidRDefault="001B7706">
            <w:pPr>
              <w:keepNext/>
              <w:keepLines/>
              <w:spacing w:after="0" w:line="240" w:lineRule="auto"/>
            </w:pPr>
            <w:r>
              <w:rPr>
                <w:b/>
                <w:sz w:val="18"/>
              </w:rPr>
              <w:t>X005</w:t>
            </w:r>
          </w:p>
        </w:tc>
        <w:tc>
          <w:tcPr>
            <w:tcW w:w="1860" w:type="dxa"/>
            <w:tcMar>
              <w:top w:w="0" w:type="dxa"/>
              <w:bottom w:w="0" w:type="dxa"/>
            </w:tcMar>
            <w:vAlign w:val="center"/>
          </w:tcPr>
          <w:p w:rsidR="00C72F1D" w:rsidRDefault="001B7706">
            <w:pPr>
              <w:keepNext/>
              <w:keepLines/>
              <w:spacing w:after="0" w:line="240" w:lineRule="auto"/>
              <w:jc w:val="right"/>
            </w:pPr>
            <w:r>
              <w:rPr>
                <w:b/>
                <w:sz w:val="18"/>
              </w:rPr>
              <w:t>0,00</w:t>
            </w:r>
          </w:p>
        </w:tc>
        <w:tc>
          <w:tcPr>
            <w:tcW w:w="1860" w:type="dxa"/>
            <w:tcMar>
              <w:top w:w="0" w:type="dxa"/>
              <w:bottom w:w="0" w:type="dxa"/>
            </w:tcMar>
            <w:vAlign w:val="center"/>
          </w:tcPr>
          <w:p w:rsidR="00C72F1D" w:rsidRDefault="001B7706">
            <w:pPr>
              <w:keepNext/>
              <w:keepLines/>
              <w:spacing w:after="0" w:line="240" w:lineRule="auto"/>
              <w:jc w:val="right"/>
            </w:pPr>
            <w:r>
              <w:rPr>
                <w:b/>
                <w:sz w:val="18"/>
              </w:rPr>
              <w:t>2.072.976,26</w:t>
            </w:r>
          </w:p>
        </w:tc>
        <w:tc>
          <w:tcPr>
            <w:tcW w:w="700" w:type="dxa"/>
            <w:tcMar>
              <w:top w:w="0" w:type="dxa"/>
              <w:bottom w:w="0" w:type="dxa"/>
            </w:tcMar>
            <w:vAlign w:val="center"/>
          </w:tcPr>
          <w:p w:rsidR="00C72F1D" w:rsidRDefault="001B7706">
            <w:pPr>
              <w:keepNext/>
              <w:keepLines/>
              <w:spacing w:after="0" w:line="240" w:lineRule="auto"/>
              <w:jc w:val="right"/>
            </w:pPr>
            <w:r>
              <w:rPr>
                <w:b/>
                <w:sz w:val="18"/>
              </w:rPr>
              <w:t>-</w:t>
            </w:r>
          </w:p>
        </w:tc>
      </w:tr>
    </w:tbl>
    <w:p w:rsidR="00C72F1D" w:rsidRDefault="00C72F1D">
      <w:pPr>
        <w:spacing w:after="0"/>
      </w:pPr>
    </w:p>
    <w:p w:rsidR="00C72F1D" w:rsidRDefault="001B7706" w:rsidP="00CA585B">
      <w:pPr>
        <w:jc w:val="both"/>
      </w:pPr>
      <w:r>
        <w:t>U izvještajnom razdoblju ostvaren je višak prihoda i primitaka u iznosu od 2.072.976,26 eura.</w:t>
      </w:r>
    </w:p>
    <w:p w:rsidR="00C72F1D" w:rsidRDefault="001B7706" w:rsidP="00CA585B">
      <w:pPr>
        <w:jc w:val="both"/>
      </w:pPr>
      <w:r>
        <w:t>Na razini poslovanja ostvaren je višak prihoda, što pokazuje da su prihodi poslovanja bili veći od rashoda poslovanja.</w:t>
      </w:r>
    </w:p>
    <w:p w:rsidR="00C72F1D" w:rsidRDefault="001B7706" w:rsidP="00CA585B">
      <w:pPr>
        <w:jc w:val="both"/>
      </w:pPr>
      <w:r>
        <w:lastRenderedPageBreak/>
        <w:t>Istodobno je iskazan manjak u dijelu koji se odnosi na nefinancijsku imovinu u iznosu 6.167.915,91 eura, što je posljedica značajnih ulaganja u nabavu i realizaciju kapitalnih investicijskih projekata.</w:t>
      </w:r>
    </w:p>
    <w:p w:rsidR="00C72F1D" w:rsidRDefault="001B7706" w:rsidP="00CA585B">
      <w:pPr>
        <w:jc w:val="both"/>
      </w:pPr>
      <w:r>
        <w:t>U okviru investicijskih aktivnosti provodi se projekt „Unapređenje kvalitete smještaja i sadržaja hotela Minerva“, koji se odnosi na kapitalne izdatke. Projekt se nalazi u završnoj fazi provedbe te je u izvještajnom razdoblju nastavljen intenzivan obujam ulaganja i realizacije ugovorenih radova.</w:t>
      </w:r>
    </w:p>
    <w:p w:rsidR="00C72F1D" w:rsidRDefault="001B7706" w:rsidP="00CA585B">
      <w:pPr>
        <w:jc w:val="both"/>
      </w:pPr>
      <w:r>
        <w:t>Projekt se financira iz sredstava Europske unije, kreditnih sredstava poslovne banke te vlastitih sredstava. U nastavku provedbe, odnosno do završetka projekta, očekuje se i komponenta sufinanciranja iz sredstava Državnog proračuna te Županijskog proračuna, sukladno ugovorenim i planiranim izvorima financiranja.</w:t>
      </w:r>
    </w:p>
    <w:p w:rsidR="00C72F1D" w:rsidRDefault="001B7706" w:rsidP="00CA585B">
      <w:pPr>
        <w:jc w:val="both"/>
      </w:pPr>
      <w:r>
        <w:t>U dijelu financiranja ostvaren je višak primitaka nad izdacima u iznosu 2.973.437,52 eura, koji je djelomično pokrio manjak iz investicijskih aktivnosti.</w:t>
      </w:r>
    </w:p>
    <w:p w:rsidR="00C72F1D" w:rsidRDefault="001B7706" w:rsidP="00CA585B">
      <w:pPr>
        <w:jc w:val="both"/>
      </w:pPr>
      <w:r>
        <w:t>Ukupno ostvareni rezultat razdoblja odražava povećanu razinu investicijskih aktivnosti, prvenstveno uslijed provedbe kapitalnih projekata financiranih iz više izvora, pri čemu su rashodi za nefinancijsku imovinu bili znatno viši u odnosu na prethodno razdoblje zbog intenzivne realizacije navedenih ulaganja.</w:t>
      </w:r>
    </w:p>
    <w:p w:rsidR="00C72F1D" w:rsidRDefault="001B7706">
      <w:r>
        <w:br/>
      </w:r>
    </w:p>
    <w:p w:rsidR="00C72F1D" w:rsidRDefault="001B7706">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w:t>
            </w:r>
          </w:p>
        </w:tc>
        <w:tc>
          <w:tcPr>
            <w:tcW w:w="3180" w:type="dxa"/>
            <w:tcMar>
              <w:top w:w="0" w:type="dxa"/>
              <w:bottom w:w="0" w:type="dxa"/>
            </w:tcMar>
            <w:vAlign w:val="center"/>
          </w:tcPr>
          <w:p w:rsidR="00C72F1D" w:rsidRDefault="001B7706">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C72F1D" w:rsidRDefault="001B7706">
            <w:pPr>
              <w:keepNext/>
              <w:keepLines/>
              <w:spacing w:after="0" w:line="240" w:lineRule="auto"/>
            </w:pPr>
            <w:r>
              <w:rPr>
                <w:sz w:val="18"/>
              </w:rPr>
              <w:t>63</w:t>
            </w:r>
          </w:p>
        </w:tc>
        <w:tc>
          <w:tcPr>
            <w:tcW w:w="1860" w:type="dxa"/>
            <w:tcMar>
              <w:top w:w="0" w:type="dxa"/>
              <w:bottom w:w="0" w:type="dxa"/>
            </w:tcMar>
            <w:vAlign w:val="center"/>
          </w:tcPr>
          <w:p w:rsidR="00C72F1D" w:rsidRDefault="001B7706">
            <w:pPr>
              <w:keepNext/>
              <w:keepLines/>
              <w:spacing w:after="0" w:line="240" w:lineRule="auto"/>
              <w:jc w:val="right"/>
            </w:pPr>
            <w:r>
              <w:rPr>
                <w:sz w:val="18"/>
              </w:rPr>
              <w:t>93.183,31</w:t>
            </w:r>
          </w:p>
        </w:tc>
        <w:tc>
          <w:tcPr>
            <w:tcW w:w="1860" w:type="dxa"/>
            <w:tcMar>
              <w:top w:w="0" w:type="dxa"/>
              <w:bottom w:w="0" w:type="dxa"/>
            </w:tcMar>
            <w:vAlign w:val="center"/>
          </w:tcPr>
          <w:p w:rsidR="00C72F1D" w:rsidRDefault="001B7706">
            <w:pPr>
              <w:keepNext/>
              <w:keepLines/>
              <w:spacing w:after="0" w:line="240" w:lineRule="auto"/>
              <w:jc w:val="right"/>
            </w:pPr>
            <w:r>
              <w:rPr>
                <w:sz w:val="18"/>
              </w:rPr>
              <w:t>5.661.634,13</w:t>
            </w:r>
          </w:p>
        </w:tc>
        <w:tc>
          <w:tcPr>
            <w:tcW w:w="700" w:type="dxa"/>
            <w:tcMar>
              <w:top w:w="0" w:type="dxa"/>
              <w:bottom w:w="0" w:type="dxa"/>
            </w:tcMar>
            <w:vAlign w:val="center"/>
          </w:tcPr>
          <w:p w:rsidR="00C72F1D" w:rsidRDefault="001B7706">
            <w:pPr>
              <w:keepNext/>
              <w:keepLines/>
              <w:spacing w:after="0" w:line="240" w:lineRule="auto"/>
              <w:jc w:val="right"/>
            </w:pPr>
            <w:r>
              <w:rPr>
                <w:sz w:val="18"/>
              </w:rPr>
              <w:t>6075,8</w:t>
            </w:r>
          </w:p>
        </w:tc>
      </w:tr>
    </w:tbl>
    <w:p w:rsidR="00C72F1D" w:rsidRDefault="00C72F1D">
      <w:pPr>
        <w:spacing w:after="0"/>
      </w:pPr>
    </w:p>
    <w:p w:rsidR="00C72F1D" w:rsidRDefault="001B7706" w:rsidP="00CA585B">
      <w:pPr>
        <w:jc w:val="both"/>
      </w:pPr>
      <w:r>
        <w:t xml:space="preserve">U prvom kvartalu 2026. godine ostvareni su prihodi od pomoći u ukupnom iznosu od 5.661.634,13 eura, što predstavlja povećanje od 5.975,80%, odnosno za 5.568.450,82 eura u odnosu na isto razdoblje 2025. godine. Značajan utjecaj na rast prihoda odnosi se na sredstva Hrvatskog zavoda za zdravstveno osiguranje za financiranje plaća pripravnika medicinske struke, koja u prethodnoj godini nisu bila ostvarena, budući da je financiranje tada bilo osigurano putem Hrvatskog zavoda za zapošljavanje. U 2026. godini zabilježeno je smanjenje sredstava Hrvatskog zavoda za zapošljavanje za navedenu namjenu za 89,97%, odnosno za 5.466,46 eura. Navedeno smanjenje posljedica je isteka ugovora o sufinanciranju, pri čemu su sredstva u najvećem dijelu iskorištena, osim u slučaju jedne djelatnice koja je koristila </w:t>
      </w:r>
      <w:proofErr w:type="spellStart"/>
      <w:r>
        <w:t>rodiljni</w:t>
      </w:r>
      <w:proofErr w:type="spellEnd"/>
      <w:r>
        <w:t xml:space="preserve"> dopust. Korištenje preostalih sredstava nastavlja se do njihovog konačnog utroška. Istodobno su evidentirana sredstva Hrvatskog zavoda za zdravstveno osiguranje u iznosu od 45.507,50 eura za financiranje plaća pripravnika medicinske struke – ugovori potpisani u zadnjem kvartalu poslovne 2025. godine. Dodatno, ostvaren je porast prihoda za refundaciju troškova dežurstva liječnice na specijalizaciji za 108,61%, odnosno za 1.351,79 </w:t>
      </w:r>
      <w:proofErr w:type="spellStart"/>
      <w:r>
        <w:t>eura.S</w:t>
      </w:r>
      <w:proofErr w:type="spellEnd"/>
      <w:r>
        <w:t xml:space="preserve"> druge strane, prihodi iz fondova Europske unije za financiranje plaća pripravnika medicinske struke smanjeni su za 89,61%, odnosno za 38.830,01 eura, uslijed smanjenog broja pripravnika obuhvaćenih financiranjem nakon isteka ugovornih odnosa, pri čemu su sredstva u najvećem dijelu </w:t>
      </w:r>
      <w:r>
        <w:lastRenderedPageBreak/>
        <w:t xml:space="preserve">iskorištena, osim u slučaju dvije djelatnice koje su koristile </w:t>
      </w:r>
      <w:proofErr w:type="spellStart"/>
      <w:r>
        <w:t>rodiljni</w:t>
      </w:r>
      <w:proofErr w:type="spellEnd"/>
      <w:r>
        <w:t xml:space="preserve"> dopust te su po povratku nastavile rad i ostvarile pravo na korištenje ugovorno osiguranih sredstava u cijelosti. Istodobno je iz fondova Europske unije evidentirano povećanje prihoda za sufinanciranje projekta „Unapređenje kvalitete smještaja i sadržaja hotela Minerva“.</w:t>
      </w:r>
    </w:p>
    <w:p w:rsidR="00C72F1D" w:rsidRDefault="00C72F1D"/>
    <w:p w:rsidR="00C72F1D" w:rsidRDefault="001B7706">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634</w:t>
            </w:r>
          </w:p>
        </w:tc>
        <w:tc>
          <w:tcPr>
            <w:tcW w:w="3180" w:type="dxa"/>
            <w:tcMar>
              <w:top w:w="0" w:type="dxa"/>
              <w:bottom w:w="0" w:type="dxa"/>
            </w:tcMar>
            <w:vAlign w:val="center"/>
          </w:tcPr>
          <w:p w:rsidR="00C72F1D" w:rsidRDefault="001B7706">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C72F1D" w:rsidRDefault="001B7706">
            <w:pPr>
              <w:keepNext/>
              <w:keepLines/>
              <w:spacing w:after="0" w:line="240" w:lineRule="auto"/>
            </w:pPr>
            <w:r>
              <w:rPr>
                <w:sz w:val="18"/>
              </w:rPr>
              <w:t>634</w:t>
            </w:r>
          </w:p>
        </w:tc>
        <w:tc>
          <w:tcPr>
            <w:tcW w:w="1860" w:type="dxa"/>
            <w:tcMar>
              <w:top w:w="0" w:type="dxa"/>
              <w:bottom w:w="0" w:type="dxa"/>
            </w:tcMar>
            <w:vAlign w:val="center"/>
          </w:tcPr>
          <w:p w:rsidR="00C72F1D" w:rsidRDefault="001B7706">
            <w:pPr>
              <w:keepNext/>
              <w:keepLines/>
              <w:spacing w:after="0" w:line="240" w:lineRule="auto"/>
              <w:jc w:val="right"/>
            </w:pPr>
            <w:r>
              <w:rPr>
                <w:sz w:val="18"/>
              </w:rPr>
              <w:t>6.075,96</w:t>
            </w:r>
          </w:p>
        </w:tc>
        <w:tc>
          <w:tcPr>
            <w:tcW w:w="1860" w:type="dxa"/>
            <w:tcMar>
              <w:top w:w="0" w:type="dxa"/>
              <w:bottom w:w="0" w:type="dxa"/>
            </w:tcMar>
            <w:vAlign w:val="center"/>
          </w:tcPr>
          <w:p w:rsidR="00C72F1D" w:rsidRDefault="001B7706">
            <w:pPr>
              <w:keepNext/>
              <w:keepLines/>
              <w:spacing w:after="0" w:line="240" w:lineRule="auto"/>
              <w:jc w:val="right"/>
            </w:pPr>
            <w:r>
              <w:rPr>
                <w:sz w:val="18"/>
              </w:rPr>
              <w:t>46.117,00</w:t>
            </w:r>
          </w:p>
        </w:tc>
        <w:tc>
          <w:tcPr>
            <w:tcW w:w="700" w:type="dxa"/>
            <w:tcMar>
              <w:top w:w="0" w:type="dxa"/>
              <w:bottom w:w="0" w:type="dxa"/>
            </w:tcMar>
            <w:vAlign w:val="center"/>
          </w:tcPr>
          <w:p w:rsidR="00C72F1D" w:rsidRDefault="001B7706">
            <w:pPr>
              <w:keepNext/>
              <w:keepLines/>
              <w:spacing w:after="0" w:line="240" w:lineRule="auto"/>
              <w:jc w:val="right"/>
            </w:pPr>
            <w:r>
              <w:rPr>
                <w:sz w:val="18"/>
              </w:rPr>
              <w:t>759,0</w:t>
            </w:r>
          </w:p>
        </w:tc>
      </w:tr>
    </w:tbl>
    <w:p w:rsidR="00C72F1D" w:rsidRDefault="00C72F1D">
      <w:pPr>
        <w:spacing w:after="0"/>
      </w:pPr>
    </w:p>
    <w:p w:rsidR="00C72F1D" w:rsidRDefault="001B7706" w:rsidP="00CA585B">
      <w:pPr>
        <w:jc w:val="both"/>
      </w:pPr>
      <w:r>
        <w:t>Evidentirano povećanje za 659,00% ili za 40.041,04 eura u odnosu na isto razdoblje prethodne godine. Značajan utjecaj na rast prihoda odnosi se na sredstva Hrvatskog zavoda za zdravstveno osiguranje (HZZO) za financiranje plaća pripravnika medicinske struke, koja u prethodnoj godini nisu bila ostvarena, budući da je financiranje tada bilo osigurano putem Hrvatskog zavoda za zapošljavanje, dok su u ovoj godini ostvarena u iznosu 45.507,50 eura – ugovori potpisani u zadnjem kvartalu poslovne 2025. godine.</w:t>
      </w:r>
    </w:p>
    <w:p w:rsidR="00C72F1D" w:rsidRDefault="001B7706" w:rsidP="00CA585B">
      <w:pPr>
        <w:jc w:val="both"/>
      </w:pPr>
      <w:r>
        <w:t xml:space="preserve">U 2026. godini zabilježeno je smanjenje sredstava Hrvatskog zavoda za zapošljavanje (HZZ) za navedenu namjenu za 89,97%, odnosno za 5.466,46 eura. Navedeno smanjenje posljedica je isteka ugovora o sufinanciranju, pri čemu su sredstva u najvećem dijelu iskorištena, osim u slučaju jedne djelatnice koja je koristila </w:t>
      </w:r>
      <w:proofErr w:type="spellStart"/>
      <w:r>
        <w:t>rodiljni</w:t>
      </w:r>
      <w:proofErr w:type="spellEnd"/>
      <w:r>
        <w:t xml:space="preserve"> dopust. Korištenje preostalih sredstava nastavlja se do njihovog konačnog utroška.</w:t>
      </w:r>
    </w:p>
    <w:p w:rsidR="00C72F1D" w:rsidRDefault="00C72F1D"/>
    <w:p w:rsidR="00C72F1D" w:rsidRDefault="001B7706">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636</w:t>
            </w:r>
          </w:p>
        </w:tc>
        <w:tc>
          <w:tcPr>
            <w:tcW w:w="3180" w:type="dxa"/>
            <w:tcMar>
              <w:top w:w="0" w:type="dxa"/>
              <w:bottom w:w="0" w:type="dxa"/>
            </w:tcMar>
            <w:vAlign w:val="center"/>
          </w:tcPr>
          <w:p w:rsidR="00C72F1D" w:rsidRDefault="001B7706">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C72F1D" w:rsidRDefault="001B7706">
            <w:pPr>
              <w:keepNext/>
              <w:keepLines/>
              <w:spacing w:after="0" w:line="240" w:lineRule="auto"/>
            </w:pPr>
            <w:r>
              <w:rPr>
                <w:sz w:val="18"/>
              </w:rPr>
              <w:t>636</w:t>
            </w:r>
          </w:p>
        </w:tc>
        <w:tc>
          <w:tcPr>
            <w:tcW w:w="1860" w:type="dxa"/>
            <w:tcMar>
              <w:top w:w="0" w:type="dxa"/>
              <w:bottom w:w="0" w:type="dxa"/>
            </w:tcMar>
            <w:vAlign w:val="center"/>
          </w:tcPr>
          <w:p w:rsidR="00C72F1D" w:rsidRDefault="001B7706">
            <w:pPr>
              <w:keepNext/>
              <w:keepLines/>
              <w:spacing w:after="0" w:line="240" w:lineRule="auto"/>
              <w:jc w:val="right"/>
            </w:pPr>
            <w:r>
              <w:rPr>
                <w:sz w:val="18"/>
              </w:rPr>
              <w:t>1.244,52</w:t>
            </w:r>
          </w:p>
        </w:tc>
        <w:tc>
          <w:tcPr>
            <w:tcW w:w="1860" w:type="dxa"/>
            <w:tcMar>
              <w:top w:w="0" w:type="dxa"/>
              <w:bottom w:w="0" w:type="dxa"/>
            </w:tcMar>
            <w:vAlign w:val="center"/>
          </w:tcPr>
          <w:p w:rsidR="00C72F1D" w:rsidRDefault="001B7706">
            <w:pPr>
              <w:keepNext/>
              <w:keepLines/>
              <w:spacing w:after="0" w:line="240" w:lineRule="auto"/>
              <w:jc w:val="right"/>
            </w:pPr>
            <w:r>
              <w:rPr>
                <w:sz w:val="18"/>
              </w:rPr>
              <w:t>2.596,31</w:t>
            </w:r>
          </w:p>
        </w:tc>
        <w:tc>
          <w:tcPr>
            <w:tcW w:w="700" w:type="dxa"/>
            <w:tcMar>
              <w:top w:w="0" w:type="dxa"/>
              <w:bottom w:w="0" w:type="dxa"/>
            </w:tcMar>
            <w:vAlign w:val="center"/>
          </w:tcPr>
          <w:p w:rsidR="00C72F1D" w:rsidRDefault="001B7706">
            <w:pPr>
              <w:keepNext/>
              <w:keepLines/>
              <w:spacing w:after="0" w:line="240" w:lineRule="auto"/>
              <w:jc w:val="right"/>
            </w:pPr>
            <w:r>
              <w:rPr>
                <w:sz w:val="18"/>
              </w:rPr>
              <w:t>208,6</w:t>
            </w:r>
          </w:p>
        </w:tc>
      </w:tr>
    </w:tbl>
    <w:p w:rsidR="00C72F1D" w:rsidRDefault="00C72F1D">
      <w:pPr>
        <w:spacing w:after="0"/>
      </w:pPr>
    </w:p>
    <w:p w:rsidR="00C72F1D" w:rsidRDefault="001B7706" w:rsidP="00CA585B">
      <w:pPr>
        <w:jc w:val="both"/>
      </w:pPr>
      <w:r>
        <w:t>Evidentirano je povećanje u iznosu od 108,61%, odnosno za 1.351,79 eura u odnosu na isto razdoblje prethodne godine, koje se odnosi na refundaciju troškova dežurstva liječnice upućene na specijalizaciju, pri čemu se u obje promatrane godine sredstva odnose na istu liječnicu te se prihodi ostvaruju po istoj osnovi financiranja.</w:t>
      </w:r>
    </w:p>
    <w:p w:rsidR="00C72F1D" w:rsidRDefault="00C72F1D"/>
    <w:p w:rsidR="00C72F1D" w:rsidRDefault="001B7706">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638</w:t>
            </w:r>
          </w:p>
        </w:tc>
        <w:tc>
          <w:tcPr>
            <w:tcW w:w="3180" w:type="dxa"/>
            <w:tcMar>
              <w:top w:w="0" w:type="dxa"/>
              <w:bottom w:w="0" w:type="dxa"/>
            </w:tcMar>
            <w:vAlign w:val="center"/>
          </w:tcPr>
          <w:p w:rsidR="00C72F1D" w:rsidRDefault="001B7706">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C72F1D" w:rsidRDefault="001B7706">
            <w:pPr>
              <w:keepNext/>
              <w:keepLines/>
              <w:spacing w:after="0" w:line="240" w:lineRule="auto"/>
            </w:pPr>
            <w:r>
              <w:rPr>
                <w:sz w:val="18"/>
              </w:rPr>
              <w:t>638</w:t>
            </w:r>
          </w:p>
        </w:tc>
        <w:tc>
          <w:tcPr>
            <w:tcW w:w="1860" w:type="dxa"/>
            <w:tcMar>
              <w:top w:w="0" w:type="dxa"/>
              <w:bottom w:w="0" w:type="dxa"/>
            </w:tcMar>
            <w:vAlign w:val="center"/>
          </w:tcPr>
          <w:p w:rsidR="00C72F1D" w:rsidRDefault="001B7706">
            <w:pPr>
              <w:keepNext/>
              <w:keepLines/>
              <w:spacing w:after="0" w:line="240" w:lineRule="auto"/>
              <w:jc w:val="right"/>
            </w:pPr>
            <w:r>
              <w:rPr>
                <w:sz w:val="18"/>
              </w:rPr>
              <w:t>85.862,83</w:t>
            </w:r>
          </w:p>
        </w:tc>
        <w:tc>
          <w:tcPr>
            <w:tcW w:w="1860" w:type="dxa"/>
            <w:tcMar>
              <w:top w:w="0" w:type="dxa"/>
              <w:bottom w:w="0" w:type="dxa"/>
            </w:tcMar>
            <w:vAlign w:val="center"/>
          </w:tcPr>
          <w:p w:rsidR="00C72F1D" w:rsidRDefault="001B7706">
            <w:pPr>
              <w:keepNext/>
              <w:keepLines/>
              <w:spacing w:after="0" w:line="240" w:lineRule="auto"/>
              <w:jc w:val="right"/>
            </w:pPr>
            <w:r>
              <w:rPr>
                <w:sz w:val="18"/>
              </w:rPr>
              <w:t>5.612.920,82</w:t>
            </w:r>
          </w:p>
        </w:tc>
        <w:tc>
          <w:tcPr>
            <w:tcW w:w="700" w:type="dxa"/>
            <w:tcMar>
              <w:top w:w="0" w:type="dxa"/>
              <w:bottom w:w="0" w:type="dxa"/>
            </w:tcMar>
            <w:vAlign w:val="center"/>
          </w:tcPr>
          <w:p w:rsidR="00C72F1D" w:rsidRDefault="001B7706">
            <w:pPr>
              <w:keepNext/>
              <w:keepLines/>
              <w:spacing w:after="0" w:line="240" w:lineRule="auto"/>
              <w:jc w:val="right"/>
            </w:pPr>
            <w:r>
              <w:rPr>
                <w:sz w:val="18"/>
              </w:rPr>
              <w:t>6537,1</w:t>
            </w:r>
          </w:p>
        </w:tc>
      </w:tr>
    </w:tbl>
    <w:p w:rsidR="00C72F1D" w:rsidRDefault="00C72F1D">
      <w:pPr>
        <w:spacing w:after="0"/>
      </w:pPr>
    </w:p>
    <w:p w:rsidR="00C72F1D" w:rsidRDefault="001B7706" w:rsidP="00CA585B">
      <w:pPr>
        <w:jc w:val="both"/>
      </w:pPr>
      <w:r>
        <w:lastRenderedPageBreak/>
        <w:t>Evidentirano povećanje za 6.437,10% ili za 5.527.057,99 eura u odnosu na prethodnu godinu.  Unutar ove skupine evidentiraju se prihodi za sufinanciranje plaća pripravnika medicinske struke i prihodi iz EU sredstava za financiranje projekta "Unapređenje kvalitete smještaja i sadržaja hotela Minerva".</w:t>
      </w:r>
    </w:p>
    <w:p w:rsidR="00C72F1D" w:rsidRDefault="00C72F1D"/>
    <w:p w:rsidR="00C72F1D" w:rsidRDefault="001B7706">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6381</w:t>
            </w:r>
          </w:p>
        </w:tc>
        <w:tc>
          <w:tcPr>
            <w:tcW w:w="3180" w:type="dxa"/>
            <w:tcMar>
              <w:top w:w="0" w:type="dxa"/>
              <w:bottom w:w="0" w:type="dxa"/>
            </w:tcMar>
            <w:vAlign w:val="center"/>
          </w:tcPr>
          <w:p w:rsidR="00C72F1D" w:rsidRDefault="001B7706">
            <w:pPr>
              <w:keepNext/>
              <w:keepLines/>
              <w:spacing w:after="0" w:line="240" w:lineRule="auto"/>
            </w:pPr>
            <w:r>
              <w:rPr>
                <w:sz w:val="18"/>
              </w:rPr>
              <w:t>Tekuće pomoći temeljem prijenosa EU sredstava</w:t>
            </w:r>
          </w:p>
        </w:tc>
        <w:tc>
          <w:tcPr>
            <w:tcW w:w="700" w:type="dxa"/>
            <w:tcMar>
              <w:top w:w="0" w:type="dxa"/>
              <w:bottom w:w="0" w:type="dxa"/>
            </w:tcMar>
            <w:vAlign w:val="center"/>
          </w:tcPr>
          <w:p w:rsidR="00C72F1D" w:rsidRDefault="001B7706">
            <w:pPr>
              <w:keepNext/>
              <w:keepLines/>
              <w:spacing w:after="0" w:line="240" w:lineRule="auto"/>
            </w:pPr>
            <w:r>
              <w:rPr>
                <w:sz w:val="18"/>
              </w:rPr>
              <w:t>6381</w:t>
            </w:r>
          </w:p>
        </w:tc>
        <w:tc>
          <w:tcPr>
            <w:tcW w:w="1860" w:type="dxa"/>
            <w:tcMar>
              <w:top w:w="0" w:type="dxa"/>
              <w:bottom w:w="0" w:type="dxa"/>
            </w:tcMar>
            <w:vAlign w:val="center"/>
          </w:tcPr>
          <w:p w:rsidR="00C72F1D" w:rsidRDefault="001B7706">
            <w:pPr>
              <w:keepNext/>
              <w:keepLines/>
              <w:spacing w:after="0" w:line="240" w:lineRule="auto"/>
              <w:jc w:val="right"/>
            </w:pPr>
            <w:r>
              <w:rPr>
                <w:sz w:val="18"/>
              </w:rPr>
              <w:t>43.333,86</w:t>
            </w:r>
          </w:p>
        </w:tc>
        <w:tc>
          <w:tcPr>
            <w:tcW w:w="1860" w:type="dxa"/>
            <w:tcMar>
              <w:top w:w="0" w:type="dxa"/>
              <w:bottom w:w="0" w:type="dxa"/>
            </w:tcMar>
            <w:vAlign w:val="center"/>
          </w:tcPr>
          <w:p w:rsidR="00C72F1D" w:rsidRDefault="001B7706">
            <w:pPr>
              <w:keepNext/>
              <w:keepLines/>
              <w:spacing w:after="0" w:line="240" w:lineRule="auto"/>
              <w:jc w:val="right"/>
            </w:pPr>
            <w:r>
              <w:rPr>
                <w:sz w:val="18"/>
              </w:rPr>
              <w:t>4.503,85</w:t>
            </w:r>
          </w:p>
        </w:tc>
        <w:tc>
          <w:tcPr>
            <w:tcW w:w="700" w:type="dxa"/>
            <w:tcMar>
              <w:top w:w="0" w:type="dxa"/>
              <w:bottom w:w="0" w:type="dxa"/>
            </w:tcMar>
            <w:vAlign w:val="center"/>
          </w:tcPr>
          <w:p w:rsidR="00C72F1D" w:rsidRDefault="001B7706">
            <w:pPr>
              <w:keepNext/>
              <w:keepLines/>
              <w:spacing w:after="0" w:line="240" w:lineRule="auto"/>
              <w:jc w:val="right"/>
            </w:pPr>
            <w:r>
              <w:rPr>
                <w:sz w:val="18"/>
              </w:rPr>
              <w:t>10,4</w:t>
            </w:r>
          </w:p>
        </w:tc>
      </w:tr>
    </w:tbl>
    <w:p w:rsidR="00C72F1D" w:rsidRDefault="00C72F1D">
      <w:pPr>
        <w:spacing w:after="0"/>
      </w:pPr>
    </w:p>
    <w:p w:rsidR="00C72F1D" w:rsidRDefault="001B7706" w:rsidP="00CA585B">
      <w:pPr>
        <w:jc w:val="both"/>
      </w:pPr>
      <w:r>
        <w:t xml:space="preserve">Evidentirano smanjenje za 89,60% ili za 38.830,01 eura, a odnosi se na sredstva za financiranje plaća pripravnika medicinske struke. Smanjen broj pripravnika obuhvaćenih financiranjem nakon isteka ugovornih odnosa, pri čemu su sredstva u najvećem dijelu iskorištena, osim u slučaju jedne  djelatnice koja je koristila </w:t>
      </w:r>
      <w:proofErr w:type="spellStart"/>
      <w:r>
        <w:t>rodiljni</w:t>
      </w:r>
      <w:proofErr w:type="spellEnd"/>
      <w:r>
        <w:t xml:space="preserve"> dopust te po povratku nastavila rad i ostvarivati svoje pravo na korištenje ugovorno osiguranih sredstava u cijelosti.</w:t>
      </w:r>
    </w:p>
    <w:p w:rsidR="00C72F1D" w:rsidRDefault="00C72F1D"/>
    <w:p w:rsidR="00C72F1D" w:rsidRDefault="001B7706">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6382</w:t>
            </w:r>
          </w:p>
        </w:tc>
        <w:tc>
          <w:tcPr>
            <w:tcW w:w="3180" w:type="dxa"/>
            <w:tcMar>
              <w:top w:w="0" w:type="dxa"/>
              <w:bottom w:w="0" w:type="dxa"/>
            </w:tcMar>
            <w:vAlign w:val="center"/>
          </w:tcPr>
          <w:p w:rsidR="00C72F1D" w:rsidRDefault="001B7706">
            <w:pPr>
              <w:keepNext/>
              <w:keepLines/>
              <w:spacing w:after="0" w:line="240" w:lineRule="auto"/>
            </w:pPr>
            <w:r>
              <w:rPr>
                <w:sz w:val="18"/>
              </w:rPr>
              <w:t>Kapitalne pomoći temeljem prijenosa EU sredstava</w:t>
            </w:r>
          </w:p>
        </w:tc>
        <w:tc>
          <w:tcPr>
            <w:tcW w:w="700" w:type="dxa"/>
            <w:tcMar>
              <w:top w:w="0" w:type="dxa"/>
              <w:bottom w:w="0" w:type="dxa"/>
            </w:tcMar>
            <w:vAlign w:val="center"/>
          </w:tcPr>
          <w:p w:rsidR="00C72F1D" w:rsidRDefault="001B7706">
            <w:pPr>
              <w:keepNext/>
              <w:keepLines/>
              <w:spacing w:after="0" w:line="240" w:lineRule="auto"/>
            </w:pPr>
            <w:r>
              <w:rPr>
                <w:sz w:val="18"/>
              </w:rPr>
              <w:t>6382</w:t>
            </w:r>
          </w:p>
        </w:tc>
        <w:tc>
          <w:tcPr>
            <w:tcW w:w="1860" w:type="dxa"/>
            <w:tcMar>
              <w:top w:w="0" w:type="dxa"/>
              <w:bottom w:w="0" w:type="dxa"/>
            </w:tcMar>
            <w:vAlign w:val="center"/>
          </w:tcPr>
          <w:p w:rsidR="00C72F1D" w:rsidRDefault="001B7706">
            <w:pPr>
              <w:keepNext/>
              <w:keepLines/>
              <w:spacing w:after="0" w:line="240" w:lineRule="auto"/>
              <w:jc w:val="right"/>
            </w:pPr>
            <w:r>
              <w:rPr>
                <w:sz w:val="18"/>
              </w:rPr>
              <w:t>42.528,97</w:t>
            </w:r>
          </w:p>
        </w:tc>
        <w:tc>
          <w:tcPr>
            <w:tcW w:w="1860" w:type="dxa"/>
            <w:tcMar>
              <w:top w:w="0" w:type="dxa"/>
              <w:bottom w:w="0" w:type="dxa"/>
            </w:tcMar>
            <w:vAlign w:val="center"/>
          </w:tcPr>
          <w:p w:rsidR="00C72F1D" w:rsidRDefault="001B7706">
            <w:pPr>
              <w:keepNext/>
              <w:keepLines/>
              <w:spacing w:after="0" w:line="240" w:lineRule="auto"/>
              <w:jc w:val="right"/>
            </w:pPr>
            <w:r>
              <w:rPr>
                <w:sz w:val="18"/>
              </w:rPr>
              <w:t>5.608.416,97</w:t>
            </w:r>
          </w:p>
        </w:tc>
        <w:tc>
          <w:tcPr>
            <w:tcW w:w="700" w:type="dxa"/>
            <w:tcMar>
              <w:top w:w="0" w:type="dxa"/>
              <w:bottom w:w="0" w:type="dxa"/>
            </w:tcMar>
            <w:vAlign w:val="center"/>
          </w:tcPr>
          <w:p w:rsidR="00C72F1D" w:rsidRDefault="001B7706">
            <w:pPr>
              <w:keepNext/>
              <w:keepLines/>
              <w:spacing w:after="0" w:line="240" w:lineRule="auto"/>
              <w:jc w:val="right"/>
            </w:pPr>
            <w:r>
              <w:rPr>
                <w:sz w:val="18"/>
              </w:rPr>
              <w:t>&gt;&gt;100</w:t>
            </w:r>
          </w:p>
        </w:tc>
      </w:tr>
    </w:tbl>
    <w:p w:rsidR="00C72F1D" w:rsidRDefault="00C72F1D">
      <w:pPr>
        <w:spacing w:after="0"/>
      </w:pPr>
    </w:p>
    <w:p w:rsidR="00C72F1D" w:rsidRDefault="001B7706" w:rsidP="00CA585B">
      <w:pPr>
        <w:jc w:val="both"/>
      </w:pPr>
      <w:r>
        <w:t>Evidentirano je povećanje u iznosu od 13.087,28%, odnosno za 5.565.888,00 eura u odnosu na isto razdoblje prethodne godine. U siječnju 2025. godine započeta je provedba projekta „Unapređenje kvalitete smještaja i sadržaja hotela Minerva“, pri čemu je prva privremena situacija ispostavljena u veljači iste godine. U 2026. godini projekt se nalazi u završnoj fazi provedbe, zbog čega su i priljevi iz navedenog izvora značajno veći u odnosu na prethodno razdoblje.</w:t>
      </w:r>
    </w:p>
    <w:p w:rsidR="00C72F1D" w:rsidRDefault="00C72F1D"/>
    <w:p w:rsidR="00C72F1D" w:rsidRDefault="001B7706">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64</w:t>
            </w:r>
          </w:p>
        </w:tc>
        <w:tc>
          <w:tcPr>
            <w:tcW w:w="3180" w:type="dxa"/>
            <w:tcMar>
              <w:top w:w="0" w:type="dxa"/>
              <w:bottom w:w="0" w:type="dxa"/>
            </w:tcMar>
            <w:vAlign w:val="center"/>
          </w:tcPr>
          <w:p w:rsidR="00C72F1D" w:rsidRDefault="001B7706">
            <w:pPr>
              <w:keepNext/>
              <w:keepLines/>
              <w:spacing w:after="0" w:line="240" w:lineRule="auto"/>
            </w:pPr>
            <w:r>
              <w:rPr>
                <w:sz w:val="18"/>
              </w:rPr>
              <w:t>Prihodi od imovine (šifre 641+642+643)</w:t>
            </w:r>
          </w:p>
        </w:tc>
        <w:tc>
          <w:tcPr>
            <w:tcW w:w="700" w:type="dxa"/>
            <w:tcMar>
              <w:top w:w="0" w:type="dxa"/>
              <w:bottom w:w="0" w:type="dxa"/>
            </w:tcMar>
            <w:vAlign w:val="center"/>
          </w:tcPr>
          <w:p w:rsidR="00C72F1D" w:rsidRDefault="001B7706">
            <w:pPr>
              <w:keepNext/>
              <w:keepLines/>
              <w:spacing w:after="0" w:line="240" w:lineRule="auto"/>
            </w:pPr>
            <w:r>
              <w:rPr>
                <w:sz w:val="18"/>
              </w:rPr>
              <w:t>64</w:t>
            </w:r>
          </w:p>
        </w:tc>
        <w:tc>
          <w:tcPr>
            <w:tcW w:w="1860" w:type="dxa"/>
            <w:tcMar>
              <w:top w:w="0" w:type="dxa"/>
              <w:bottom w:w="0" w:type="dxa"/>
            </w:tcMar>
            <w:vAlign w:val="center"/>
          </w:tcPr>
          <w:p w:rsidR="00C72F1D" w:rsidRDefault="001B7706">
            <w:pPr>
              <w:keepNext/>
              <w:keepLines/>
              <w:spacing w:after="0" w:line="240" w:lineRule="auto"/>
              <w:jc w:val="right"/>
            </w:pPr>
            <w:r>
              <w:rPr>
                <w:sz w:val="18"/>
              </w:rPr>
              <w:t>1.456,67</w:t>
            </w:r>
          </w:p>
        </w:tc>
        <w:tc>
          <w:tcPr>
            <w:tcW w:w="1860" w:type="dxa"/>
            <w:tcMar>
              <w:top w:w="0" w:type="dxa"/>
              <w:bottom w:w="0" w:type="dxa"/>
            </w:tcMar>
            <w:vAlign w:val="center"/>
          </w:tcPr>
          <w:p w:rsidR="00C72F1D" w:rsidRDefault="001B7706">
            <w:pPr>
              <w:keepNext/>
              <w:keepLines/>
              <w:spacing w:after="0" w:line="240" w:lineRule="auto"/>
              <w:jc w:val="right"/>
            </w:pPr>
            <w:r>
              <w:rPr>
                <w:sz w:val="18"/>
              </w:rPr>
              <w:t>1.316,71</w:t>
            </w:r>
          </w:p>
        </w:tc>
        <w:tc>
          <w:tcPr>
            <w:tcW w:w="700" w:type="dxa"/>
            <w:tcMar>
              <w:top w:w="0" w:type="dxa"/>
              <w:bottom w:w="0" w:type="dxa"/>
            </w:tcMar>
            <w:vAlign w:val="center"/>
          </w:tcPr>
          <w:p w:rsidR="00C72F1D" w:rsidRDefault="001B7706">
            <w:pPr>
              <w:keepNext/>
              <w:keepLines/>
              <w:spacing w:after="0" w:line="240" w:lineRule="auto"/>
              <w:jc w:val="right"/>
            </w:pPr>
            <w:r>
              <w:rPr>
                <w:sz w:val="18"/>
              </w:rPr>
              <w:t>90,4</w:t>
            </w:r>
          </w:p>
        </w:tc>
      </w:tr>
    </w:tbl>
    <w:p w:rsidR="00C72F1D" w:rsidRDefault="00C72F1D">
      <w:pPr>
        <w:spacing w:after="0"/>
      </w:pPr>
    </w:p>
    <w:p w:rsidR="00C72F1D" w:rsidRDefault="001B7706" w:rsidP="00CA585B">
      <w:pPr>
        <w:jc w:val="both"/>
      </w:pPr>
      <w:r>
        <w:t>Ostvareni u iznosu 1.316,71 eura, manji su u odnosu na isto razdoblje prethodne godine za 9,60 % ili za 139,96 eura. </w:t>
      </w:r>
    </w:p>
    <w:p w:rsidR="00C72F1D" w:rsidRDefault="00C72F1D"/>
    <w:p w:rsidR="00C72F1D" w:rsidRDefault="001B7706">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6413</w:t>
            </w:r>
          </w:p>
        </w:tc>
        <w:tc>
          <w:tcPr>
            <w:tcW w:w="3180" w:type="dxa"/>
            <w:tcMar>
              <w:top w:w="0" w:type="dxa"/>
              <w:bottom w:w="0" w:type="dxa"/>
            </w:tcMar>
            <w:vAlign w:val="center"/>
          </w:tcPr>
          <w:p w:rsidR="00C72F1D" w:rsidRDefault="001B7706">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C72F1D" w:rsidRDefault="001B7706">
            <w:pPr>
              <w:keepNext/>
              <w:keepLines/>
              <w:spacing w:after="0" w:line="240" w:lineRule="auto"/>
            </w:pPr>
            <w:r>
              <w:rPr>
                <w:sz w:val="18"/>
              </w:rPr>
              <w:t>6413</w:t>
            </w:r>
          </w:p>
        </w:tc>
        <w:tc>
          <w:tcPr>
            <w:tcW w:w="1860" w:type="dxa"/>
            <w:tcMar>
              <w:top w:w="0" w:type="dxa"/>
              <w:bottom w:w="0" w:type="dxa"/>
            </w:tcMar>
            <w:vAlign w:val="center"/>
          </w:tcPr>
          <w:p w:rsidR="00C72F1D" w:rsidRDefault="001B7706">
            <w:pPr>
              <w:keepNext/>
              <w:keepLines/>
              <w:spacing w:after="0" w:line="240" w:lineRule="auto"/>
              <w:jc w:val="right"/>
            </w:pPr>
            <w:r>
              <w:rPr>
                <w:sz w:val="18"/>
              </w:rPr>
              <w:t>1.084,09</w:t>
            </w:r>
          </w:p>
        </w:tc>
        <w:tc>
          <w:tcPr>
            <w:tcW w:w="1860" w:type="dxa"/>
            <w:tcMar>
              <w:top w:w="0" w:type="dxa"/>
              <w:bottom w:w="0" w:type="dxa"/>
            </w:tcMar>
            <w:vAlign w:val="center"/>
          </w:tcPr>
          <w:p w:rsidR="00C72F1D" w:rsidRDefault="001B7706">
            <w:pPr>
              <w:keepNext/>
              <w:keepLines/>
              <w:spacing w:after="0" w:line="240" w:lineRule="auto"/>
              <w:jc w:val="right"/>
            </w:pPr>
            <w:r>
              <w:rPr>
                <w:sz w:val="18"/>
              </w:rPr>
              <w:t>827,38</w:t>
            </w:r>
          </w:p>
        </w:tc>
        <w:tc>
          <w:tcPr>
            <w:tcW w:w="700" w:type="dxa"/>
            <w:tcMar>
              <w:top w:w="0" w:type="dxa"/>
              <w:bottom w:w="0" w:type="dxa"/>
            </w:tcMar>
            <w:vAlign w:val="center"/>
          </w:tcPr>
          <w:p w:rsidR="00C72F1D" w:rsidRDefault="001B7706">
            <w:pPr>
              <w:keepNext/>
              <w:keepLines/>
              <w:spacing w:after="0" w:line="240" w:lineRule="auto"/>
              <w:jc w:val="right"/>
            </w:pPr>
            <w:r>
              <w:rPr>
                <w:sz w:val="18"/>
              </w:rPr>
              <w:t>76,3</w:t>
            </w:r>
          </w:p>
        </w:tc>
      </w:tr>
    </w:tbl>
    <w:p w:rsidR="00C72F1D" w:rsidRDefault="00C72F1D">
      <w:pPr>
        <w:spacing w:after="0"/>
      </w:pPr>
    </w:p>
    <w:p w:rsidR="00C72F1D" w:rsidRDefault="001B7706" w:rsidP="00CA585B">
      <w:pPr>
        <w:jc w:val="both"/>
      </w:pPr>
      <w:r>
        <w:t>Naplaćen je manji iznos na ime kamata po žiro računim</w:t>
      </w:r>
      <w:r w:rsidR="00CA585B">
        <w:t xml:space="preserve">a za 23,70% ili za 256,71 eura </w:t>
      </w:r>
      <w:r>
        <w:t xml:space="preserve">(Bolnica koristi odobreni Cash </w:t>
      </w:r>
      <w:proofErr w:type="spellStart"/>
      <w:r>
        <w:t>pool</w:t>
      </w:r>
      <w:proofErr w:type="spellEnd"/>
      <w:r>
        <w:t xml:space="preserve"> u većem iznosu nego prethodne godine).</w:t>
      </w:r>
    </w:p>
    <w:p w:rsidR="00C72F1D" w:rsidRDefault="00C72F1D"/>
    <w:p w:rsidR="00C72F1D" w:rsidRDefault="001B7706">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6414</w:t>
            </w:r>
          </w:p>
        </w:tc>
        <w:tc>
          <w:tcPr>
            <w:tcW w:w="3180" w:type="dxa"/>
            <w:tcMar>
              <w:top w:w="0" w:type="dxa"/>
              <w:bottom w:w="0" w:type="dxa"/>
            </w:tcMar>
            <w:vAlign w:val="center"/>
          </w:tcPr>
          <w:p w:rsidR="00C72F1D" w:rsidRDefault="001B7706">
            <w:pPr>
              <w:keepNext/>
              <w:keepLines/>
              <w:spacing w:after="0" w:line="240" w:lineRule="auto"/>
            </w:pPr>
            <w:r>
              <w:rPr>
                <w:sz w:val="18"/>
              </w:rPr>
              <w:t>Prihodi od zateznih kamata</w:t>
            </w:r>
          </w:p>
        </w:tc>
        <w:tc>
          <w:tcPr>
            <w:tcW w:w="700" w:type="dxa"/>
            <w:tcMar>
              <w:top w:w="0" w:type="dxa"/>
              <w:bottom w:w="0" w:type="dxa"/>
            </w:tcMar>
            <w:vAlign w:val="center"/>
          </w:tcPr>
          <w:p w:rsidR="00C72F1D" w:rsidRDefault="001B7706">
            <w:pPr>
              <w:keepNext/>
              <w:keepLines/>
              <w:spacing w:after="0" w:line="240" w:lineRule="auto"/>
            </w:pPr>
            <w:r>
              <w:rPr>
                <w:sz w:val="18"/>
              </w:rPr>
              <w:t>6414</w:t>
            </w:r>
          </w:p>
        </w:tc>
        <w:tc>
          <w:tcPr>
            <w:tcW w:w="1860" w:type="dxa"/>
            <w:tcMar>
              <w:top w:w="0" w:type="dxa"/>
              <w:bottom w:w="0" w:type="dxa"/>
            </w:tcMar>
            <w:vAlign w:val="center"/>
          </w:tcPr>
          <w:p w:rsidR="00C72F1D" w:rsidRDefault="001B7706">
            <w:pPr>
              <w:keepNext/>
              <w:keepLines/>
              <w:spacing w:after="0" w:line="240" w:lineRule="auto"/>
              <w:jc w:val="right"/>
            </w:pPr>
            <w:r>
              <w:rPr>
                <w:sz w:val="18"/>
              </w:rPr>
              <w:t>52,26</w:t>
            </w:r>
          </w:p>
        </w:tc>
        <w:tc>
          <w:tcPr>
            <w:tcW w:w="1860" w:type="dxa"/>
            <w:tcMar>
              <w:top w:w="0" w:type="dxa"/>
              <w:bottom w:w="0" w:type="dxa"/>
            </w:tcMar>
            <w:vAlign w:val="center"/>
          </w:tcPr>
          <w:p w:rsidR="00C72F1D" w:rsidRDefault="001B7706">
            <w:pPr>
              <w:keepNext/>
              <w:keepLines/>
              <w:spacing w:after="0" w:line="240" w:lineRule="auto"/>
              <w:jc w:val="right"/>
            </w:pPr>
            <w:r>
              <w:rPr>
                <w:sz w:val="18"/>
              </w:rPr>
              <w:t>9,07</w:t>
            </w:r>
          </w:p>
        </w:tc>
        <w:tc>
          <w:tcPr>
            <w:tcW w:w="700" w:type="dxa"/>
            <w:tcMar>
              <w:top w:w="0" w:type="dxa"/>
              <w:bottom w:w="0" w:type="dxa"/>
            </w:tcMar>
            <w:vAlign w:val="center"/>
          </w:tcPr>
          <w:p w:rsidR="00C72F1D" w:rsidRDefault="001B7706">
            <w:pPr>
              <w:keepNext/>
              <w:keepLines/>
              <w:spacing w:after="0" w:line="240" w:lineRule="auto"/>
              <w:jc w:val="right"/>
            </w:pPr>
            <w:r>
              <w:rPr>
                <w:sz w:val="18"/>
              </w:rPr>
              <w:t>17,4</w:t>
            </w:r>
          </w:p>
        </w:tc>
      </w:tr>
    </w:tbl>
    <w:p w:rsidR="00C72F1D" w:rsidRDefault="00C72F1D">
      <w:pPr>
        <w:spacing w:after="0"/>
      </w:pPr>
    </w:p>
    <w:p w:rsidR="00C72F1D" w:rsidRDefault="001B7706" w:rsidP="00CA585B">
      <w:pPr>
        <w:jc w:val="both"/>
      </w:pPr>
      <w:r>
        <w:t>Evidentirano manje naplaćenih prihoda na ime kamata po sudskim sporovima za 82,60% ili za 43,19 eura.</w:t>
      </w:r>
    </w:p>
    <w:p w:rsidR="00C72F1D" w:rsidRDefault="00C72F1D"/>
    <w:p w:rsidR="00C72F1D" w:rsidRDefault="001B7706">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6416</w:t>
            </w:r>
          </w:p>
        </w:tc>
        <w:tc>
          <w:tcPr>
            <w:tcW w:w="3180" w:type="dxa"/>
            <w:tcMar>
              <w:top w:w="0" w:type="dxa"/>
              <w:bottom w:w="0" w:type="dxa"/>
            </w:tcMar>
            <w:vAlign w:val="center"/>
          </w:tcPr>
          <w:p w:rsidR="00C72F1D" w:rsidRDefault="001B7706">
            <w:pPr>
              <w:keepNext/>
              <w:keepLines/>
              <w:spacing w:after="0" w:line="240" w:lineRule="auto"/>
            </w:pPr>
            <w:r>
              <w:rPr>
                <w:sz w:val="18"/>
              </w:rPr>
              <w:t>Prihodi od dividendi</w:t>
            </w:r>
          </w:p>
        </w:tc>
        <w:tc>
          <w:tcPr>
            <w:tcW w:w="700" w:type="dxa"/>
            <w:tcMar>
              <w:top w:w="0" w:type="dxa"/>
              <w:bottom w:w="0" w:type="dxa"/>
            </w:tcMar>
            <w:vAlign w:val="center"/>
          </w:tcPr>
          <w:p w:rsidR="00C72F1D" w:rsidRDefault="001B7706">
            <w:pPr>
              <w:keepNext/>
              <w:keepLines/>
              <w:spacing w:after="0" w:line="240" w:lineRule="auto"/>
            </w:pPr>
            <w:r>
              <w:rPr>
                <w:sz w:val="18"/>
              </w:rPr>
              <w:t>6416</w:t>
            </w:r>
          </w:p>
        </w:tc>
        <w:tc>
          <w:tcPr>
            <w:tcW w:w="1860" w:type="dxa"/>
            <w:tcMar>
              <w:top w:w="0" w:type="dxa"/>
              <w:bottom w:w="0" w:type="dxa"/>
            </w:tcMar>
            <w:vAlign w:val="center"/>
          </w:tcPr>
          <w:p w:rsidR="00C72F1D" w:rsidRDefault="001B7706">
            <w:pPr>
              <w:keepNext/>
              <w:keepLines/>
              <w:spacing w:after="0" w:line="240" w:lineRule="auto"/>
              <w:jc w:val="right"/>
            </w:pPr>
            <w:r>
              <w:rPr>
                <w:sz w:val="18"/>
              </w:rPr>
              <w:t>320,32</w:t>
            </w:r>
          </w:p>
        </w:tc>
        <w:tc>
          <w:tcPr>
            <w:tcW w:w="1860" w:type="dxa"/>
            <w:tcMar>
              <w:top w:w="0" w:type="dxa"/>
              <w:bottom w:w="0" w:type="dxa"/>
            </w:tcMar>
            <w:vAlign w:val="center"/>
          </w:tcPr>
          <w:p w:rsidR="00C72F1D" w:rsidRDefault="001B7706">
            <w:pPr>
              <w:keepNext/>
              <w:keepLines/>
              <w:spacing w:after="0" w:line="240" w:lineRule="auto"/>
              <w:jc w:val="right"/>
            </w:pPr>
            <w:r>
              <w:rPr>
                <w:sz w:val="18"/>
              </w:rPr>
              <w:t>480,26</w:t>
            </w:r>
          </w:p>
        </w:tc>
        <w:tc>
          <w:tcPr>
            <w:tcW w:w="700" w:type="dxa"/>
            <w:tcMar>
              <w:top w:w="0" w:type="dxa"/>
              <w:bottom w:w="0" w:type="dxa"/>
            </w:tcMar>
            <w:vAlign w:val="center"/>
          </w:tcPr>
          <w:p w:rsidR="00C72F1D" w:rsidRDefault="001B7706">
            <w:pPr>
              <w:keepNext/>
              <w:keepLines/>
              <w:spacing w:after="0" w:line="240" w:lineRule="auto"/>
              <w:jc w:val="right"/>
            </w:pPr>
            <w:r>
              <w:rPr>
                <w:sz w:val="18"/>
              </w:rPr>
              <w:t>149,9</w:t>
            </w:r>
          </w:p>
        </w:tc>
      </w:tr>
    </w:tbl>
    <w:p w:rsidR="00C72F1D" w:rsidRDefault="00C72F1D">
      <w:pPr>
        <w:spacing w:after="0"/>
      </w:pPr>
    </w:p>
    <w:p w:rsidR="00C72F1D" w:rsidRDefault="001B7706" w:rsidP="00CA585B">
      <w:pPr>
        <w:jc w:val="both"/>
      </w:pPr>
      <w:r>
        <w:t>Evidentiran veći iznos na ime prihoda od dividendi za 49,90% ili za 159,94 eura.</w:t>
      </w:r>
    </w:p>
    <w:p w:rsidR="00C72F1D" w:rsidRDefault="00C72F1D"/>
    <w:p w:rsidR="00C72F1D" w:rsidRDefault="001B7706">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65</w:t>
            </w:r>
          </w:p>
        </w:tc>
        <w:tc>
          <w:tcPr>
            <w:tcW w:w="3180" w:type="dxa"/>
            <w:tcMar>
              <w:top w:w="0" w:type="dxa"/>
              <w:bottom w:w="0" w:type="dxa"/>
            </w:tcMar>
            <w:vAlign w:val="center"/>
          </w:tcPr>
          <w:p w:rsidR="00C72F1D" w:rsidRDefault="001B7706">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C72F1D" w:rsidRDefault="001B7706">
            <w:pPr>
              <w:keepNext/>
              <w:keepLines/>
              <w:spacing w:after="0" w:line="240" w:lineRule="auto"/>
            </w:pPr>
            <w:r>
              <w:rPr>
                <w:sz w:val="18"/>
              </w:rPr>
              <w:t>65</w:t>
            </w:r>
          </w:p>
        </w:tc>
        <w:tc>
          <w:tcPr>
            <w:tcW w:w="1860" w:type="dxa"/>
            <w:tcMar>
              <w:top w:w="0" w:type="dxa"/>
              <w:bottom w:w="0" w:type="dxa"/>
            </w:tcMar>
            <w:vAlign w:val="center"/>
          </w:tcPr>
          <w:p w:rsidR="00C72F1D" w:rsidRDefault="001B7706">
            <w:pPr>
              <w:keepNext/>
              <w:keepLines/>
              <w:spacing w:after="0" w:line="240" w:lineRule="auto"/>
              <w:jc w:val="right"/>
            </w:pPr>
            <w:r>
              <w:rPr>
                <w:sz w:val="18"/>
              </w:rPr>
              <w:t>785.089,18</w:t>
            </w:r>
          </w:p>
        </w:tc>
        <w:tc>
          <w:tcPr>
            <w:tcW w:w="1860" w:type="dxa"/>
            <w:tcMar>
              <w:top w:w="0" w:type="dxa"/>
              <w:bottom w:w="0" w:type="dxa"/>
            </w:tcMar>
            <w:vAlign w:val="center"/>
          </w:tcPr>
          <w:p w:rsidR="00C72F1D" w:rsidRDefault="001B7706">
            <w:pPr>
              <w:keepNext/>
              <w:keepLines/>
              <w:spacing w:after="0" w:line="240" w:lineRule="auto"/>
              <w:jc w:val="right"/>
            </w:pPr>
            <w:r>
              <w:rPr>
                <w:sz w:val="18"/>
              </w:rPr>
              <w:t>691.858,31</w:t>
            </w:r>
          </w:p>
        </w:tc>
        <w:tc>
          <w:tcPr>
            <w:tcW w:w="700" w:type="dxa"/>
            <w:tcMar>
              <w:top w:w="0" w:type="dxa"/>
              <w:bottom w:w="0" w:type="dxa"/>
            </w:tcMar>
            <w:vAlign w:val="center"/>
          </w:tcPr>
          <w:p w:rsidR="00C72F1D" w:rsidRDefault="001B7706">
            <w:pPr>
              <w:keepNext/>
              <w:keepLines/>
              <w:spacing w:after="0" w:line="240" w:lineRule="auto"/>
              <w:jc w:val="right"/>
            </w:pPr>
            <w:r>
              <w:rPr>
                <w:sz w:val="18"/>
              </w:rPr>
              <w:t>88,1</w:t>
            </w:r>
          </w:p>
        </w:tc>
      </w:tr>
    </w:tbl>
    <w:p w:rsidR="00C72F1D" w:rsidRDefault="00C72F1D">
      <w:pPr>
        <w:spacing w:after="0"/>
      </w:pPr>
    </w:p>
    <w:p w:rsidR="00C72F1D" w:rsidRDefault="001B7706" w:rsidP="00CA585B">
      <w:pPr>
        <w:jc w:val="both"/>
      </w:pPr>
      <w:r>
        <w:t>Prihodi su ostvareni u iznosu od 691.858,31 eura te su manji za 11,90%, odnosno za 93.230,87 eura u odnosu na isto razdoblje prethodne godine. Smanjenje je rezultat manjeg ostvarenja prihoda od dopunskog osiguranja, što je izravno povezano sa smanjenjem smještajnih kapaciteta. S danom 1. ožujka 2025. godine objekt Minerva je u cijelosti zatvoren zbog provedbe projekta „Unapređenje kvalitete smještaja i sadržaja hotela Minerva“, čime su dodatno smanjeni raspoloživi smještajni kapaciteti. Navedene okolnosti izravno su utjecale na smanjenje obujma usluga te posljedično i na nižu razinu ostvarenih prihoda iz ove skupine. </w:t>
      </w:r>
    </w:p>
    <w:p w:rsidR="00C72F1D" w:rsidRDefault="00C72F1D"/>
    <w:p w:rsidR="00C72F1D" w:rsidRDefault="001B7706">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66</w:t>
            </w:r>
          </w:p>
        </w:tc>
        <w:tc>
          <w:tcPr>
            <w:tcW w:w="3180" w:type="dxa"/>
            <w:tcMar>
              <w:top w:w="0" w:type="dxa"/>
              <w:bottom w:w="0" w:type="dxa"/>
            </w:tcMar>
            <w:vAlign w:val="center"/>
          </w:tcPr>
          <w:p w:rsidR="00C72F1D" w:rsidRDefault="001B7706">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C72F1D" w:rsidRDefault="001B7706">
            <w:pPr>
              <w:keepNext/>
              <w:keepLines/>
              <w:spacing w:after="0" w:line="240" w:lineRule="auto"/>
            </w:pPr>
            <w:r>
              <w:rPr>
                <w:sz w:val="18"/>
              </w:rPr>
              <w:t>66</w:t>
            </w:r>
          </w:p>
        </w:tc>
        <w:tc>
          <w:tcPr>
            <w:tcW w:w="1860" w:type="dxa"/>
            <w:tcMar>
              <w:top w:w="0" w:type="dxa"/>
              <w:bottom w:w="0" w:type="dxa"/>
            </w:tcMar>
            <w:vAlign w:val="center"/>
          </w:tcPr>
          <w:p w:rsidR="00C72F1D" w:rsidRDefault="001B7706">
            <w:pPr>
              <w:keepNext/>
              <w:keepLines/>
              <w:spacing w:after="0" w:line="240" w:lineRule="auto"/>
              <w:jc w:val="right"/>
            </w:pPr>
            <w:r>
              <w:rPr>
                <w:sz w:val="18"/>
              </w:rPr>
              <w:t>905.696,58</w:t>
            </w:r>
          </w:p>
        </w:tc>
        <w:tc>
          <w:tcPr>
            <w:tcW w:w="1860" w:type="dxa"/>
            <w:tcMar>
              <w:top w:w="0" w:type="dxa"/>
              <w:bottom w:w="0" w:type="dxa"/>
            </w:tcMar>
            <w:vAlign w:val="center"/>
          </w:tcPr>
          <w:p w:rsidR="00C72F1D" w:rsidRDefault="001B7706">
            <w:pPr>
              <w:keepNext/>
              <w:keepLines/>
              <w:spacing w:after="0" w:line="240" w:lineRule="auto"/>
              <w:jc w:val="right"/>
            </w:pPr>
            <w:r>
              <w:rPr>
                <w:sz w:val="18"/>
              </w:rPr>
              <w:t>925.691,86</w:t>
            </w:r>
          </w:p>
        </w:tc>
        <w:tc>
          <w:tcPr>
            <w:tcW w:w="700" w:type="dxa"/>
            <w:tcMar>
              <w:top w:w="0" w:type="dxa"/>
              <w:bottom w:w="0" w:type="dxa"/>
            </w:tcMar>
            <w:vAlign w:val="center"/>
          </w:tcPr>
          <w:p w:rsidR="00C72F1D" w:rsidRDefault="001B7706">
            <w:pPr>
              <w:keepNext/>
              <w:keepLines/>
              <w:spacing w:after="0" w:line="240" w:lineRule="auto"/>
              <w:jc w:val="right"/>
            </w:pPr>
            <w:r>
              <w:rPr>
                <w:sz w:val="18"/>
              </w:rPr>
              <w:t>102,2</w:t>
            </w:r>
          </w:p>
        </w:tc>
      </w:tr>
    </w:tbl>
    <w:p w:rsidR="00C72F1D" w:rsidRDefault="00C72F1D">
      <w:pPr>
        <w:spacing w:after="0"/>
      </w:pPr>
    </w:p>
    <w:p w:rsidR="00C72F1D" w:rsidRDefault="001B7706" w:rsidP="00CA585B">
      <w:pPr>
        <w:jc w:val="both"/>
      </w:pPr>
      <w:r>
        <w:t>Ostvareni su u iznosu 925.691,86 eura i veći su za 2,20% ili za 19.995,28  eura u odnosu na prethodnu godinu.</w:t>
      </w:r>
    </w:p>
    <w:p w:rsidR="00C72F1D" w:rsidRDefault="00C72F1D"/>
    <w:p w:rsidR="00C72F1D" w:rsidRDefault="001B7706">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661</w:t>
            </w:r>
          </w:p>
        </w:tc>
        <w:tc>
          <w:tcPr>
            <w:tcW w:w="3180" w:type="dxa"/>
            <w:tcMar>
              <w:top w:w="0" w:type="dxa"/>
              <w:bottom w:w="0" w:type="dxa"/>
            </w:tcMar>
            <w:vAlign w:val="center"/>
          </w:tcPr>
          <w:p w:rsidR="00C72F1D" w:rsidRDefault="001B7706">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C72F1D" w:rsidRDefault="001B7706">
            <w:pPr>
              <w:keepNext/>
              <w:keepLines/>
              <w:spacing w:after="0" w:line="240" w:lineRule="auto"/>
            </w:pPr>
            <w:r>
              <w:rPr>
                <w:sz w:val="18"/>
              </w:rPr>
              <w:t>661</w:t>
            </w:r>
          </w:p>
        </w:tc>
        <w:tc>
          <w:tcPr>
            <w:tcW w:w="1860" w:type="dxa"/>
            <w:tcMar>
              <w:top w:w="0" w:type="dxa"/>
              <w:bottom w:w="0" w:type="dxa"/>
            </w:tcMar>
            <w:vAlign w:val="center"/>
          </w:tcPr>
          <w:p w:rsidR="00C72F1D" w:rsidRDefault="001B7706">
            <w:pPr>
              <w:keepNext/>
              <w:keepLines/>
              <w:spacing w:after="0" w:line="240" w:lineRule="auto"/>
              <w:jc w:val="right"/>
            </w:pPr>
            <w:r>
              <w:rPr>
                <w:sz w:val="18"/>
              </w:rPr>
              <w:t>894.326,49</w:t>
            </w:r>
          </w:p>
        </w:tc>
        <w:tc>
          <w:tcPr>
            <w:tcW w:w="1860" w:type="dxa"/>
            <w:tcMar>
              <w:top w:w="0" w:type="dxa"/>
              <w:bottom w:w="0" w:type="dxa"/>
            </w:tcMar>
            <w:vAlign w:val="center"/>
          </w:tcPr>
          <w:p w:rsidR="00C72F1D" w:rsidRDefault="001B7706">
            <w:pPr>
              <w:keepNext/>
              <w:keepLines/>
              <w:spacing w:after="0" w:line="240" w:lineRule="auto"/>
              <w:jc w:val="right"/>
            </w:pPr>
            <w:r>
              <w:rPr>
                <w:sz w:val="18"/>
              </w:rPr>
              <w:t>919.617,46</w:t>
            </w:r>
          </w:p>
        </w:tc>
        <w:tc>
          <w:tcPr>
            <w:tcW w:w="700" w:type="dxa"/>
            <w:tcMar>
              <w:top w:w="0" w:type="dxa"/>
              <w:bottom w:w="0" w:type="dxa"/>
            </w:tcMar>
            <w:vAlign w:val="center"/>
          </w:tcPr>
          <w:p w:rsidR="00C72F1D" w:rsidRDefault="001B7706">
            <w:pPr>
              <w:keepNext/>
              <w:keepLines/>
              <w:spacing w:after="0" w:line="240" w:lineRule="auto"/>
              <w:jc w:val="right"/>
            </w:pPr>
            <w:r>
              <w:rPr>
                <w:sz w:val="18"/>
              </w:rPr>
              <w:t>102,8</w:t>
            </w:r>
          </w:p>
        </w:tc>
      </w:tr>
    </w:tbl>
    <w:p w:rsidR="00C72F1D" w:rsidRDefault="00C72F1D">
      <w:pPr>
        <w:spacing w:after="0"/>
      </w:pPr>
    </w:p>
    <w:p w:rsidR="00C72F1D" w:rsidRDefault="001B7706" w:rsidP="00CA585B">
      <w:pPr>
        <w:jc w:val="both"/>
      </w:pPr>
      <w:r>
        <w:t>Evidentirano je povećanje u iznosu od 2,80%, odnosno za 25.290,97 eura u odnosu na isto razdoblje prethodne godine. Objekt Minerva je od 1. ožujka 2025. godine zatvoren zbog izvođenja radova na projektu „Unapređenje kvalitete smještaja i sadržaja hotela Minerva“, što je imalo izravan utjecaj na poslovanje te na ostvarenje prihoda u promatranom razdoblju. Radi održavanja kontinuiteta poslovanja i stabilnosti ove skupine prihoda, u najam je uzet prostor (kantina) u Medicinskoj školi Varaždin, u kojem se pripremaju obroci za učenike te ostale zainteresirane korisnike, čime je omogućeno djelomično nadomještanje izgubljenih kapaciteta. U mjesecu ožujku 2025. godine izostao je prihod po ovoj osnovi, upravo zbog zatvaranja objekta Minerva. Navedene okolnosti utjecale su na kretanje prihoda te su rezultirale ukupnim povećanjem u promatranom razdoblju u odnosu na prethodnu godinu.</w:t>
      </w:r>
    </w:p>
    <w:p w:rsidR="00C72F1D" w:rsidRDefault="00C72F1D"/>
    <w:p w:rsidR="00C72F1D" w:rsidRDefault="001B7706">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663</w:t>
            </w:r>
          </w:p>
        </w:tc>
        <w:tc>
          <w:tcPr>
            <w:tcW w:w="3180" w:type="dxa"/>
            <w:tcMar>
              <w:top w:w="0" w:type="dxa"/>
              <w:bottom w:w="0" w:type="dxa"/>
            </w:tcMar>
            <w:vAlign w:val="center"/>
          </w:tcPr>
          <w:p w:rsidR="00C72F1D" w:rsidRDefault="001B7706">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C72F1D" w:rsidRDefault="001B7706">
            <w:pPr>
              <w:keepNext/>
              <w:keepLines/>
              <w:spacing w:after="0" w:line="240" w:lineRule="auto"/>
            </w:pPr>
            <w:r>
              <w:rPr>
                <w:sz w:val="18"/>
              </w:rPr>
              <w:t>663</w:t>
            </w:r>
          </w:p>
        </w:tc>
        <w:tc>
          <w:tcPr>
            <w:tcW w:w="1860" w:type="dxa"/>
            <w:tcMar>
              <w:top w:w="0" w:type="dxa"/>
              <w:bottom w:w="0" w:type="dxa"/>
            </w:tcMar>
            <w:vAlign w:val="center"/>
          </w:tcPr>
          <w:p w:rsidR="00C72F1D" w:rsidRDefault="001B7706">
            <w:pPr>
              <w:keepNext/>
              <w:keepLines/>
              <w:spacing w:after="0" w:line="240" w:lineRule="auto"/>
              <w:jc w:val="right"/>
            </w:pPr>
            <w:r>
              <w:rPr>
                <w:sz w:val="18"/>
              </w:rPr>
              <w:t>11.370,09</w:t>
            </w:r>
          </w:p>
        </w:tc>
        <w:tc>
          <w:tcPr>
            <w:tcW w:w="1860" w:type="dxa"/>
            <w:tcMar>
              <w:top w:w="0" w:type="dxa"/>
              <w:bottom w:w="0" w:type="dxa"/>
            </w:tcMar>
            <w:vAlign w:val="center"/>
          </w:tcPr>
          <w:p w:rsidR="00C72F1D" w:rsidRDefault="001B7706">
            <w:pPr>
              <w:keepNext/>
              <w:keepLines/>
              <w:spacing w:after="0" w:line="240" w:lineRule="auto"/>
              <w:jc w:val="right"/>
            </w:pPr>
            <w:r>
              <w:rPr>
                <w:sz w:val="18"/>
              </w:rPr>
              <w:t>6.074,40</w:t>
            </w:r>
          </w:p>
        </w:tc>
        <w:tc>
          <w:tcPr>
            <w:tcW w:w="700" w:type="dxa"/>
            <w:tcMar>
              <w:top w:w="0" w:type="dxa"/>
              <w:bottom w:w="0" w:type="dxa"/>
            </w:tcMar>
            <w:vAlign w:val="center"/>
          </w:tcPr>
          <w:p w:rsidR="00C72F1D" w:rsidRDefault="001B7706">
            <w:pPr>
              <w:keepNext/>
              <w:keepLines/>
              <w:spacing w:after="0" w:line="240" w:lineRule="auto"/>
              <w:jc w:val="right"/>
            </w:pPr>
            <w:r>
              <w:rPr>
                <w:sz w:val="18"/>
              </w:rPr>
              <w:t>53,4</w:t>
            </w:r>
          </w:p>
        </w:tc>
      </w:tr>
    </w:tbl>
    <w:p w:rsidR="00C72F1D" w:rsidRDefault="00C72F1D">
      <w:pPr>
        <w:spacing w:after="0"/>
      </w:pPr>
    </w:p>
    <w:p w:rsidR="00C72F1D" w:rsidRDefault="001B7706" w:rsidP="00CA585B">
      <w:pPr>
        <w:jc w:val="both"/>
      </w:pPr>
      <w:r>
        <w:t>Evidentirani iznos od 6.074,40 eura odnosi se na primljene donacije trgovačkih društava za pokriće troškova stručnih edukacija radnika bolnice (sudjelovanja na kongresima, seminarima i tečajevima), u iznosu od 3.000,00 eura, te na donacije za potrošni medicinski materijal u iznosu od 3.074,40 eura, te je u odnosu na isto razdoblje prethodne godine ostvaren manji iznos donacija za 46,60%, odnosno za 5.295,69 eura.</w:t>
      </w:r>
    </w:p>
    <w:p w:rsidR="00C72F1D" w:rsidRDefault="00C72F1D"/>
    <w:p w:rsidR="00C72F1D" w:rsidRDefault="001B7706">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67</w:t>
            </w:r>
          </w:p>
        </w:tc>
        <w:tc>
          <w:tcPr>
            <w:tcW w:w="3180" w:type="dxa"/>
            <w:tcMar>
              <w:top w:w="0" w:type="dxa"/>
              <w:bottom w:w="0" w:type="dxa"/>
            </w:tcMar>
            <w:vAlign w:val="center"/>
          </w:tcPr>
          <w:p w:rsidR="00C72F1D" w:rsidRDefault="001B7706">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C72F1D" w:rsidRDefault="001B7706">
            <w:pPr>
              <w:keepNext/>
              <w:keepLines/>
              <w:spacing w:after="0" w:line="240" w:lineRule="auto"/>
            </w:pPr>
            <w:r>
              <w:rPr>
                <w:sz w:val="18"/>
              </w:rPr>
              <w:t>67</w:t>
            </w:r>
          </w:p>
        </w:tc>
        <w:tc>
          <w:tcPr>
            <w:tcW w:w="1860" w:type="dxa"/>
            <w:tcMar>
              <w:top w:w="0" w:type="dxa"/>
              <w:bottom w:w="0" w:type="dxa"/>
            </w:tcMar>
            <w:vAlign w:val="center"/>
          </w:tcPr>
          <w:p w:rsidR="00C72F1D" w:rsidRDefault="001B7706">
            <w:pPr>
              <w:keepNext/>
              <w:keepLines/>
              <w:spacing w:after="0" w:line="240" w:lineRule="auto"/>
              <w:jc w:val="right"/>
            </w:pPr>
            <w:r>
              <w:rPr>
                <w:sz w:val="18"/>
              </w:rPr>
              <w:t>3.926.628,37</w:t>
            </w:r>
          </w:p>
        </w:tc>
        <w:tc>
          <w:tcPr>
            <w:tcW w:w="1860" w:type="dxa"/>
            <w:tcMar>
              <w:top w:w="0" w:type="dxa"/>
              <w:bottom w:w="0" w:type="dxa"/>
            </w:tcMar>
            <w:vAlign w:val="center"/>
          </w:tcPr>
          <w:p w:rsidR="00C72F1D" w:rsidRDefault="001B7706">
            <w:pPr>
              <w:keepNext/>
              <w:keepLines/>
              <w:spacing w:after="0" w:line="240" w:lineRule="auto"/>
              <w:jc w:val="right"/>
            </w:pPr>
            <w:r>
              <w:rPr>
                <w:sz w:val="18"/>
              </w:rPr>
              <w:t>4.094.068,44</w:t>
            </w:r>
          </w:p>
        </w:tc>
        <w:tc>
          <w:tcPr>
            <w:tcW w:w="700" w:type="dxa"/>
            <w:tcMar>
              <w:top w:w="0" w:type="dxa"/>
              <w:bottom w:w="0" w:type="dxa"/>
            </w:tcMar>
            <w:vAlign w:val="center"/>
          </w:tcPr>
          <w:p w:rsidR="00C72F1D" w:rsidRDefault="001B7706">
            <w:pPr>
              <w:keepNext/>
              <w:keepLines/>
              <w:spacing w:after="0" w:line="240" w:lineRule="auto"/>
              <w:jc w:val="right"/>
            </w:pPr>
            <w:r>
              <w:rPr>
                <w:sz w:val="18"/>
              </w:rPr>
              <w:t>104,3</w:t>
            </w:r>
          </w:p>
        </w:tc>
      </w:tr>
    </w:tbl>
    <w:p w:rsidR="00C72F1D" w:rsidRDefault="00C72F1D">
      <w:pPr>
        <w:spacing w:after="0"/>
      </w:pPr>
    </w:p>
    <w:p w:rsidR="00C72F1D" w:rsidRDefault="001B7706" w:rsidP="00CA585B">
      <w:pPr>
        <w:jc w:val="both"/>
      </w:pPr>
      <w:r>
        <w:t>Ostvareni su u ukupnom iznosu od 4.094.068,44 eura, veći su u odnosu na isto razdoblje prethodne 2025. godine za 4,30% ili za 167.440,07 eura.</w:t>
      </w:r>
    </w:p>
    <w:p w:rsidR="00C72F1D" w:rsidRDefault="00C72F1D"/>
    <w:p w:rsidR="00C72F1D" w:rsidRDefault="001B7706">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671</w:t>
            </w:r>
          </w:p>
        </w:tc>
        <w:tc>
          <w:tcPr>
            <w:tcW w:w="3180" w:type="dxa"/>
            <w:tcMar>
              <w:top w:w="0" w:type="dxa"/>
              <w:bottom w:w="0" w:type="dxa"/>
            </w:tcMar>
            <w:vAlign w:val="center"/>
          </w:tcPr>
          <w:p w:rsidR="00C72F1D" w:rsidRDefault="001B7706">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C72F1D" w:rsidRDefault="001B7706">
            <w:pPr>
              <w:keepNext/>
              <w:keepLines/>
              <w:spacing w:after="0" w:line="240" w:lineRule="auto"/>
            </w:pPr>
            <w:r>
              <w:rPr>
                <w:sz w:val="18"/>
              </w:rPr>
              <w:t>671</w:t>
            </w:r>
          </w:p>
        </w:tc>
        <w:tc>
          <w:tcPr>
            <w:tcW w:w="1860" w:type="dxa"/>
            <w:tcMar>
              <w:top w:w="0" w:type="dxa"/>
              <w:bottom w:w="0" w:type="dxa"/>
            </w:tcMar>
            <w:vAlign w:val="center"/>
          </w:tcPr>
          <w:p w:rsidR="00C72F1D" w:rsidRDefault="001B7706">
            <w:pPr>
              <w:keepNext/>
              <w:keepLines/>
              <w:spacing w:after="0" w:line="240" w:lineRule="auto"/>
              <w:jc w:val="right"/>
            </w:pPr>
            <w:r>
              <w:rPr>
                <w:sz w:val="18"/>
              </w:rPr>
              <w:t>198.527,86</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700" w:type="dxa"/>
            <w:tcMar>
              <w:top w:w="0" w:type="dxa"/>
              <w:bottom w:w="0" w:type="dxa"/>
            </w:tcMar>
            <w:vAlign w:val="center"/>
          </w:tcPr>
          <w:p w:rsidR="00C72F1D" w:rsidRDefault="001B7706">
            <w:pPr>
              <w:keepNext/>
              <w:keepLines/>
              <w:spacing w:after="0" w:line="240" w:lineRule="auto"/>
              <w:jc w:val="right"/>
            </w:pPr>
            <w:r>
              <w:rPr>
                <w:sz w:val="18"/>
              </w:rPr>
              <w:t>0</w:t>
            </w:r>
          </w:p>
        </w:tc>
      </w:tr>
    </w:tbl>
    <w:p w:rsidR="00C72F1D" w:rsidRDefault="00C72F1D">
      <w:pPr>
        <w:spacing w:after="0"/>
      </w:pPr>
    </w:p>
    <w:p w:rsidR="00C72F1D" w:rsidRDefault="001B7706" w:rsidP="00CA585B">
      <w:pPr>
        <w:jc w:val="both"/>
      </w:pPr>
      <w:r>
        <w:t>U poslovnoj 2026. godini nisu evidentirani prihodi po ovoj osnovi, dok su u poslovnoj 2025. godini ostvareni prihodi u ukupnom iznosu od 198.527,86 eura, koji su se odnosili na financiranje otplate zajmova po dugoročnim kreditima za energetsku obnovu objekata bolnice.</w:t>
      </w:r>
    </w:p>
    <w:p w:rsidR="00C72F1D" w:rsidRDefault="001B7706" w:rsidP="00CA585B">
      <w:pPr>
        <w:jc w:val="both"/>
      </w:pPr>
      <w:r>
        <w:t>U 2026. godini suglasnost za podnošenje zahtjeva za refundaciju decentraliziranih sredstava zaprimljena je u drugoj polovici mjeseca ožujka, slijedom čega će prvi zahtjev biti upućen po završetku obračunskog razdoblja, odnosno početkom mjeseca travnja.</w:t>
      </w:r>
    </w:p>
    <w:p w:rsidR="00C72F1D" w:rsidRDefault="00C72F1D"/>
    <w:p w:rsidR="00C72F1D" w:rsidRDefault="001B7706">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673</w:t>
            </w:r>
          </w:p>
        </w:tc>
        <w:tc>
          <w:tcPr>
            <w:tcW w:w="3180" w:type="dxa"/>
            <w:tcMar>
              <w:top w:w="0" w:type="dxa"/>
              <w:bottom w:w="0" w:type="dxa"/>
            </w:tcMar>
            <w:vAlign w:val="center"/>
          </w:tcPr>
          <w:p w:rsidR="00C72F1D" w:rsidRDefault="001B7706">
            <w:pPr>
              <w:keepNext/>
              <w:keepLines/>
              <w:spacing w:after="0" w:line="240" w:lineRule="auto"/>
            </w:pPr>
            <w:r>
              <w:rPr>
                <w:sz w:val="18"/>
              </w:rPr>
              <w:t>Prihodi od HZZO-a na temelju ugovornih obveza</w:t>
            </w:r>
          </w:p>
        </w:tc>
        <w:tc>
          <w:tcPr>
            <w:tcW w:w="700" w:type="dxa"/>
            <w:tcMar>
              <w:top w:w="0" w:type="dxa"/>
              <w:bottom w:w="0" w:type="dxa"/>
            </w:tcMar>
            <w:vAlign w:val="center"/>
          </w:tcPr>
          <w:p w:rsidR="00C72F1D" w:rsidRDefault="001B7706">
            <w:pPr>
              <w:keepNext/>
              <w:keepLines/>
              <w:spacing w:after="0" w:line="240" w:lineRule="auto"/>
            </w:pPr>
            <w:r>
              <w:rPr>
                <w:sz w:val="18"/>
              </w:rPr>
              <w:t>673</w:t>
            </w:r>
          </w:p>
        </w:tc>
        <w:tc>
          <w:tcPr>
            <w:tcW w:w="1860" w:type="dxa"/>
            <w:tcMar>
              <w:top w:w="0" w:type="dxa"/>
              <w:bottom w:w="0" w:type="dxa"/>
            </w:tcMar>
            <w:vAlign w:val="center"/>
          </w:tcPr>
          <w:p w:rsidR="00C72F1D" w:rsidRDefault="001B7706">
            <w:pPr>
              <w:keepNext/>
              <w:keepLines/>
              <w:spacing w:after="0" w:line="240" w:lineRule="auto"/>
              <w:jc w:val="right"/>
            </w:pPr>
            <w:r>
              <w:rPr>
                <w:sz w:val="18"/>
              </w:rPr>
              <w:t>3.728.100,51</w:t>
            </w:r>
          </w:p>
        </w:tc>
        <w:tc>
          <w:tcPr>
            <w:tcW w:w="1860" w:type="dxa"/>
            <w:tcMar>
              <w:top w:w="0" w:type="dxa"/>
              <w:bottom w:w="0" w:type="dxa"/>
            </w:tcMar>
            <w:vAlign w:val="center"/>
          </w:tcPr>
          <w:p w:rsidR="00C72F1D" w:rsidRDefault="001B7706">
            <w:pPr>
              <w:keepNext/>
              <w:keepLines/>
              <w:spacing w:after="0" w:line="240" w:lineRule="auto"/>
              <w:jc w:val="right"/>
            </w:pPr>
            <w:r>
              <w:rPr>
                <w:sz w:val="18"/>
              </w:rPr>
              <w:t>4.094.068,44</w:t>
            </w:r>
          </w:p>
        </w:tc>
        <w:tc>
          <w:tcPr>
            <w:tcW w:w="700" w:type="dxa"/>
            <w:tcMar>
              <w:top w:w="0" w:type="dxa"/>
              <w:bottom w:w="0" w:type="dxa"/>
            </w:tcMar>
            <w:vAlign w:val="center"/>
          </w:tcPr>
          <w:p w:rsidR="00C72F1D" w:rsidRDefault="001B7706">
            <w:pPr>
              <w:keepNext/>
              <w:keepLines/>
              <w:spacing w:after="0" w:line="240" w:lineRule="auto"/>
              <w:jc w:val="right"/>
            </w:pPr>
            <w:r>
              <w:rPr>
                <w:sz w:val="18"/>
              </w:rPr>
              <w:t>109,8</w:t>
            </w:r>
          </w:p>
        </w:tc>
      </w:tr>
    </w:tbl>
    <w:p w:rsidR="00C72F1D" w:rsidRDefault="00C72F1D">
      <w:pPr>
        <w:spacing w:after="0"/>
      </w:pPr>
    </w:p>
    <w:p w:rsidR="00C72F1D" w:rsidRDefault="001B7706" w:rsidP="00CA585B">
      <w:pPr>
        <w:jc w:val="both"/>
      </w:pPr>
      <w:r>
        <w:t>Prihodi su u odnosu na prethodnu 2025. godinu ostvareni u većem iznosu za 9,80%, odnosno za 365.967,93 eura. Navedeno povećanje rezultat je većeg iznosa dodijeljenih limitiranih sredstava u poslovnoj 2026. godini, što je povezano s korekcijom cijena koja je stupila na snagu u prosincu 2025. godine.</w:t>
      </w:r>
    </w:p>
    <w:p w:rsidR="00C72F1D" w:rsidRDefault="00C72F1D"/>
    <w:p w:rsidR="00C72F1D" w:rsidRDefault="001B7706">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68</w:t>
            </w:r>
          </w:p>
        </w:tc>
        <w:tc>
          <w:tcPr>
            <w:tcW w:w="3180" w:type="dxa"/>
            <w:tcMar>
              <w:top w:w="0" w:type="dxa"/>
              <w:bottom w:w="0" w:type="dxa"/>
            </w:tcMar>
            <w:vAlign w:val="center"/>
          </w:tcPr>
          <w:p w:rsidR="00C72F1D" w:rsidRDefault="001B7706">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C72F1D" w:rsidRDefault="001B7706">
            <w:pPr>
              <w:keepNext/>
              <w:keepLines/>
              <w:spacing w:after="0" w:line="240" w:lineRule="auto"/>
            </w:pPr>
            <w:r>
              <w:rPr>
                <w:sz w:val="18"/>
              </w:rPr>
              <w:t>68</w:t>
            </w:r>
          </w:p>
        </w:tc>
        <w:tc>
          <w:tcPr>
            <w:tcW w:w="1860" w:type="dxa"/>
            <w:tcMar>
              <w:top w:w="0" w:type="dxa"/>
              <w:bottom w:w="0" w:type="dxa"/>
            </w:tcMar>
            <w:vAlign w:val="center"/>
          </w:tcPr>
          <w:p w:rsidR="00C72F1D" w:rsidRDefault="001B7706">
            <w:pPr>
              <w:keepNext/>
              <w:keepLines/>
              <w:spacing w:after="0" w:line="240" w:lineRule="auto"/>
              <w:jc w:val="right"/>
            </w:pPr>
            <w:r>
              <w:rPr>
                <w:sz w:val="18"/>
              </w:rPr>
              <w:t>539,26</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700" w:type="dxa"/>
            <w:tcMar>
              <w:top w:w="0" w:type="dxa"/>
              <w:bottom w:w="0" w:type="dxa"/>
            </w:tcMar>
            <w:vAlign w:val="center"/>
          </w:tcPr>
          <w:p w:rsidR="00C72F1D" w:rsidRDefault="001B7706">
            <w:pPr>
              <w:keepNext/>
              <w:keepLines/>
              <w:spacing w:after="0" w:line="240" w:lineRule="auto"/>
              <w:jc w:val="right"/>
            </w:pPr>
            <w:r>
              <w:rPr>
                <w:sz w:val="18"/>
              </w:rPr>
              <w:t>0</w:t>
            </w:r>
          </w:p>
        </w:tc>
      </w:tr>
    </w:tbl>
    <w:p w:rsidR="00C72F1D" w:rsidRDefault="00C72F1D">
      <w:pPr>
        <w:spacing w:after="0"/>
      </w:pPr>
    </w:p>
    <w:p w:rsidR="00C72F1D" w:rsidRDefault="001B7706" w:rsidP="00CA585B">
      <w:pPr>
        <w:jc w:val="both"/>
      </w:pPr>
      <w:r>
        <w:t>Prethodne godine na ovoj poziciji evidentiran iznos od 539,26 eura za razne popuste i rabate. Poslovne godine nema evidentiranih prihoda. </w:t>
      </w:r>
    </w:p>
    <w:p w:rsidR="00C72F1D" w:rsidRDefault="00C72F1D"/>
    <w:p w:rsidR="00C72F1D" w:rsidRDefault="001B7706">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311</w:t>
            </w:r>
          </w:p>
        </w:tc>
        <w:tc>
          <w:tcPr>
            <w:tcW w:w="3180" w:type="dxa"/>
            <w:tcMar>
              <w:top w:w="0" w:type="dxa"/>
              <w:bottom w:w="0" w:type="dxa"/>
            </w:tcMar>
            <w:vAlign w:val="center"/>
          </w:tcPr>
          <w:p w:rsidR="00C72F1D" w:rsidRDefault="001B7706">
            <w:pPr>
              <w:keepNext/>
              <w:keepLines/>
              <w:spacing w:after="0" w:line="240" w:lineRule="auto"/>
            </w:pPr>
            <w:r>
              <w:rPr>
                <w:sz w:val="18"/>
              </w:rPr>
              <w:t>Plaće (bruto) (šifre 3111 do 3114)</w:t>
            </w:r>
          </w:p>
        </w:tc>
        <w:tc>
          <w:tcPr>
            <w:tcW w:w="700" w:type="dxa"/>
            <w:tcMar>
              <w:top w:w="0" w:type="dxa"/>
              <w:bottom w:w="0" w:type="dxa"/>
            </w:tcMar>
            <w:vAlign w:val="center"/>
          </w:tcPr>
          <w:p w:rsidR="00C72F1D" w:rsidRDefault="001B7706">
            <w:pPr>
              <w:keepNext/>
              <w:keepLines/>
              <w:spacing w:after="0" w:line="240" w:lineRule="auto"/>
            </w:pPr>
            <w:r>
              <w:rPr>
                <w:sz w:val="18"/>
              </w:rPr>
              <w:t>311</w:t>
            </w:r>
          </w:p>
        </w:tc>
        <w:tc>
          <w:tcPr>
            <w:tcW w:w="1860" w:type="dxa"/>
            <w:tcMar>
              <w:top w:w="0" w:type="dxa"/>
              <w:bottom w:w="0" w:type="dxa"/>
            </w:tcMar>
            <w:vAlign w:val="center"/>
          </w:tcPr>
          <w:p w:rsidR="00C72F1D" w:rsidRDefault="001B7706">
            <w:pPr>
              <w:keepNext/>
              <w:keepLines/>
              <w:spacing w:after="0" w:line="240" w:lineRule="auto"/>
              <w:jc w:val="right"/>
            </w:pPr>
            <w:r>
              <w:rPr>
                <w:sz w:val="18"/>
              </w:rPr>
              <w:t>3.925.512,14</w:t>
            </w:r>
          </w:p>
        </w:tc>
        <w:tc>
          <w:tcPr>
            <w:tcW w:w="1860" w:type="dxa"/>
            <w:tcMar>
              <w:top w:w="0" w:type="dxa"/>
              <w:bottom w:w="0" w:type="dxa"/>
            </w:tcMar>
            <w:vAlign w:val="center"/>
          </w:tcPr>
          <w:p w:rsidR="00C72F1D" w:rsidRDefault="001B7706">
            <w:pPr>
              <w:keepNext/>
              <w:keepLines/>
              <w:spacing w:after="0" w:line="240" w:lineRule="auto"/>
              <w:jc w:val="right"/>
            </w:pPr>
            <w:r>
              <w:rPr>
                <w:sz w:val="18"/>
              </w:rPr>
              <w:t>3.850.743,04</w:t>
            </w:r>
          </w:p>
        </w:tc>
        <w:tc>
          <w:tcPr>
            <w:tcW w:w="700" w:type="dxa"/>
            <w:tcMar>
              <w:top w:w="0" w:type="dxa"/>
              <w:bottom w:w="0" w:type="dxa"/>
            </w:tcMar>
            <w:vAlign w:val="center"/>
          </w:tcPr>
          <w:p w:rsidR="00C72F1D" w:rsidRDefault="001B7706">
            <w:pPr>
              <w:keepNext/>
              <w:keepLines/>
              <w:spacing w:after="0" w:line="240" w:lineRule="auto"/>
              <w:jc w:val="right"/>
            </w:pPr>
            <w:r>
              <w:rPr>
                <w:sz w:val="18"/>
              </w:rPr>
              <w:t>98,1</w:t>
            </w:r>
          </w:p>
        </w:tc>
      </w:tr>
    </w:tbl>
    <w:p w:rsidR="00C72F1D" w:rsidRDefault="00C72F1D">
      <w:pPr>
        <w:spacing w:after="0"/>
      </w:pPr>
    </w:p>
    <w:p w:rsidR="00C72F1D" w:rsidRDefault="001B7706" w:rsidP="00CA585B">
      <w:pPr>
        <w:jc w:val="both"/>
      </w:pPr>
      <w:r>
        <w:t>Ukupni troškovi u poslovnoj 2026. godini iznose 3.850.743,04 eura, što predstavlja smanjenje od 19,00 %, odnosno 74.769,10 eura u odnosu na prethodnu, 2025. godinu. Smanjenje je prvenstveno rezultat promjene u broju i strukturi zaposlenih. Na dan 31. ožujka 2026. godine zaposleno je 645 djelatnika, dok je na isti datum prethodne godine bilo 676 zaposlenih. Zbog provođenja projekta „Unapređenje kvalitete smještaja i sadržaja hotela Minerva“ cijeli hotel je u potpunosti zatvoren te je došlo do preraspodjele radne snage. Djelatnici hotela Minerva privremeno obavljaju poslove u drugim organizacijskim jedinicama bolnice. Iz tog razloga nije bilo novih zapošljavanja, osim u slučajevima kada u postojećoj strukturi nije bilo moguće osigurati adekvatnu zamjenu.</w:t>
      </w:r>
    </w:p>
    <w:p w:rsidR="00C72F1D" w:rsidRDefault="00C72F1D"/>
    <w:p w:rsidR="00C72F1D" w:rsidRDefault="001B7706">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312</w:t>
            </w:r>
          </w:p>
        </w:tc>
        <w:tc>
          <w:tcPr>
            <w:tcW w:w="3180" w:type="dxa"/>
            <w:tcMar>
              <w:top w:w="0" w:type="dxa"/>
              <w:bottom w:w="0" w:type="dxa"/>
            </w:tcMar>
            <w:vAlign w:val="center"/>
          </w:tcPr>
          <w:p w:rsidR="00C72F1D" w:rsidRDefault="001B7706">
            <w:pPr>
              <w:keepNext/>
              <w:keepLines/>
              <w:spacing w:after="0" w:line="240" w:lineRule="auto"/>
            </w:pPr>
            <w:r>
              <w:rPr>
                <w:sz w:val="18"/>
              </w:rPr>
              <w:t>Ostali rashodi za zaposlene</w:t>
            </w:r>
          </w:p>
        </w:tc>
        <w:tc>
          <w:tcPr>
            <w:tcW w:w="700" w:type="dxa"/>
            <w:tcMar>
              <w:top w:w="0" w:type="dxa"/>
              <w:bottom w:w="0" w:type="dxa"/>
            </w:tcMar>
            <w:vAlign w:val="center"/>
          </w:tcPr>
          <w:p w:rsidR="00C72F1D" w:rsidRDefault="001B7706">
            <w:pPr>
              <w:keepNext/>
              <w:keepLines/>
              <w:spacing w:after="0" w:line="240" w:lineRule="auto"/>
            </w:pPr>
            <w:r>
              <w:rPr>
                <w:sz w:val="18"/>
              </w:rPr>
              <w:t>312</w:t>
            </w:r>
          </w:p>
        </w:tc>
        <w:tc>
          <w:tcPr>
            <w:tcW w:w="1860" w:type="dxa"/>
            <w:tcMar>
              <w:top w:w="0" w:type="dxa"/>
              <w:bottom w:w="0" w:type="dxa"/>
            </w:tcMar>
            <w:vAlign w:val="center"/>
          </w:tcPr>
          <w:p w:rsidR="00C72F1D" w:rsidRDefault="001B7706">
            <w:pPr>
              <w:keepNext/>
              <w:keepLines/>
              <w:spacing w:after="0" w:line="240" w:lineRule="auto"/>
              <w:jc w:val="right"/>
            </w:pPr>
            <w:r>
              <w:rPr>
                <w:sz w:val="18"/>
              </w:rPr>
              <w:t>114.488,71</w:t>
            </w:r>
          </w:p>
        </w:tc>
        <w:tc>
          <w:tcPr>
            <w:tcW w:w="1860" w:type="dxa"/>
            <w:tcMar>
              <w:top w:w="0" w:type="dxa"/>
              <w:bottom w:w="0" w:type="dxa"/>
            </w:tcMar>
            <w:vAlign w:val="center"/>
          </w:tcPr>
          <w:p w:rsidR="00C72F1D" w:rsidRDefault="001B7706">
            <w:pPr>
              <w:keepNext/>
              <w:keepLines/>
              <w:spacing w:after="0" w:line="240" w:lineRule="auto"/>
              <w:jc w:val="right"/>
            </w:pPr>
            <w:r>
              <w:rPr>
                <w:sz w:val="18"/>
              </w:rPr>
              <w:t>145.981,66</w:t>
            </w:r>
          </w:p>
        </w:tc>
        <w:tc>
          <w:tcPr>
            <w:tcW w:w="700" w:type="dxa"/>
            <w:tcMar>
              <w:top w:w="0" w:type="dxa"/>
              <w:bottom w:w="0" w:type="dxa"/>
            </w:tcMar>
            <w:vAlign w:val="center"/>
          </w:tcPr>
          <w:p w:rsidR="00C72F1D" w:rsidRDefault="001B7706">
            <w:pPr>
              <w:keepNext/>
              <w:keepLines/>
              <w:spacing w:after="0" w:line="240" w:lineRule="auto"/>
              <w:jc w:val="right"/>
            </w:pPr>
            <w:r>
              <w:rPr>
                <w:sz w:val="18"/>
              </w:rPr>
              <w:t>127,5</w:t>
            </w:r>
          </w:p>
        </w:tc>
      </w:tr>
    </w:tbl>
    <w:p w:rsidR="00C72F1D" w:rsidRDefault="00C72F1D">
      <w:pPr>
        <w:spacing w:after="0"/>
      </w:pPr>
    </w:p>
    <w:p w:rsidR="00C72F1D" w:rsidRDefault="001B7706" w:rsidP="00CA585B">
      <w:pPr>
        <w:jc w:val="both"/>
      </w:pPr>
      <w:r>
        <w:t>Ukupni troškovi u promatranom razdoblju iznose 145.981,66 eura, što predstavlja povećanje od 27,50 % u odnosu na prethodnu, 2025. godinu. Povećanje troškova prvenstveno je evidentirano na stavci otpremnine, kao posljedica odlazaka zaposlenika u starosnu mirovinu. Istodobno, ostali rashodi na svim pozicijama bilježe smanjenje (</w:t>
      </w:r>
      <w:proofErr w:type="spellStart"/>
      <w:r>
        <w:t>uskrsnice</w:t>
      </w:r>
      <w:proofErr w:type="spellEnd"/>
      <w:r>
        <w:t>, jubilarne nagrade, pomoći u slučaju smrti i bolovanja), što je izravno povezano sa smanjenjem broja zaposlenih.</w:t>
      </w:r>
    </w:p>
    <w:p w:rsidR="00C72F1D" w:rsidRDefault="00C72F1D"/>
    <w:p w:rsidR="00C72F1D" w:rsidRDefault="001B7706">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313</w:t>
            </w:r>
          </w:p>
        </w:tc>
        <w:tc>
          <w:tcPr>
            <w:tcW w:w="3180" w:type="dxa"/>
            <w:tcMar>
              <w:top w:w="0" w:type="dxa"/>
              <w:bottom w:w="0" w:type="dxa"/>
            </w:tcMar>
            <w:vAlign w:val="center"/>
          </w:tcPr>
          <w:p w:rsidR="00C72F1D" w:rsidRDefault="001B7706">
            <w:pPr>
              <w:keepNext/>
              <w:keepLines/>
              <w:spacing w:after="0" w:line="240" w:lineRule="auto"/>
            </w:pPr>
            <w:r>
              <w:rPr>
                <w:sz w:val="18"/>
              </w:rPr>
              <w:t>Doprinosi na plaće (šifre 3131 do 3133)</w:t>
            </w:r>
          </w:p>
        </w:tc>
        <w:tc>
          <w:tcPr>
            <w:tcW w:w="700" w:type="dxa"/>
            <w:tcMar>
              <w:top w:w="0" w:type="dxa"/>
              <w:bottom w:w="0" w:type="dxa"/>
            </w:tcMar>
            <w:vAlign w:val="center"/>
          </w:tcPr>
          <w:p w:rsidR="00C72F1D" w:rsidRDefault="001B7706">
            <w:pPr>
              <w:keepNext/>
              <w:keepLines/>
              <w:spacing w:after="0" w:line="240" w:lineRule="auto"/>
            </w:pPr>
            <w:r>
              <w:rPr>
                <w:sz w:val="18"/>
              </w:rPr>
              <w:t>313</w:t>
            </w:r>
          </w:p>
        </w:tc>
        <w:tc>
          <w:tcPr>
            <w:tcW w:w="1860" w:type="dxa"/>
            <w:tcMar>
              <w:top w:w="0" w:type="dxa"/>
              <w:bottom w:w="0" w:type="dxa"/>
            </w:tcMar>
            <w:vAlign w:val="center"/>
          </w:tcPr>
          <w:p w:rsidR="00C72F1D" w:rsidRDefault="001B7706">
            <w:pPr>
              <w:keepNext/>
              <w:keepLines/>
              <w:spacing w:after="0" w:line="240" w:lineRule="auto"/>
              <w:jc w:val="right"/>
            </w:pPr>
            <w:r>
              <w:rPr>
                <w:sz w:val="18"/>
              </w:rPr>
              <w:t>581.788,72</w:t>
            </w:r>
          </w:p>
        </w:tc>
        <w:tc>
          <w:tcPr>
            <w:tcW w:w="1860" w:type="dxa"/>
            <w:tcMar>
              <w:top w:w="0" w:type="dxa"/>
              <w:bottom w:w="0" w:type="dxa"/>
            </w:tcMar>
            <w:vAlign w:val="center"/>
          </w:tcPr>
          <w:p w:rsidR="00C72F1D" w:rsidRDefault="001B7706">
            <w:pPr>
              <w:keepNext/>
              <w:keepLines/>
              <w:spacing w:after="0" w:line="240" w:lineRule="auto"/>
              <w:jc w:val="right"/>
            </w:pPr>
            <w:r>
              <w:rPr>
                <w:sz w:val="18"/>
              </w:rPr>
              <w:t>583.485,39</w:t>
            </w:r>
          </w:p>
        </w:tc>
        <w:tc>
          <w:tcPr>
            <w:tcW w:w="700" w:type="dxa"/>
            <w:tcMar>
              <w:top w:w="0" w:type="dxa"/>
              <w:bottom w:w="0" w:type="dxa"/>
            </w:tcMar>
            <w:vAlign w:val="center"/>
          </w:tcPr>
          <w:p w:rsidR="00C72F1D" w:rsidRDefault="001B7706">
            <w:pPr>
              <w:keepNext/>
              <w:keepLines/>
              <w:spacing w:after="0" w:line="240" w:lineRule="auto"/>
              <w:jc w:val="right"/>
            </w:pPr>
            <w:r>
              <w:rPr>
                <w:sz w:val="18"/>
              </w:rPr>
              <w:t>100,3</w:t>
            </w:r>
          </w:p>
        </w:tc>
      </w:tr>
    </w:tbl>
    <w:p w:rsidR="00C72F1D" w:rsidRDefault="00C72F1D">
      <w:pPr>
        <w:spacing w:after="0"/>
      </w:pPr>
    </w:p>
    <w:p w:rsidR="00C72F1D" w:rsidRDefault="001B7706" w:rsidP="00CA585B">
      <w:pPr>
        <w:jc w:val="both"/>
      </w:pPr>
      <w:r>
        <w:t>Ostvareni u iznosu 583.485,39 eura veći su za 0,30% ili za 1.696,67 eura u odnosu na isto razdoblje prethodne godine – posljedično prati bruto plaće, a isplaćeni su sukladno važećim Zakonskim propisima.</w:t>
      </w:r>
    </w:p>
    <w:p w:rsidR="00C72F1D" w:rsidRDefault="00C72F1D"/>
    <w:p w:rsidR="00C72F1D" w:rsidRDefault="001B7706">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321</w:t>
            </w:r>
          </w:p>
        </w:tc>
        <w:tc>
          <w:tcPr>
            <w:tcW w:w="3180" w:type="dxa"/>
            <w:tcMar>
              <w:top w:w="0" w:type="dxa"/>
              <w:bottom w:w="0" w:type="dxa"/>
            </w:tcMar>
            <w:vAlign w:val="center"/>
          </w:tcPr>
          <w:p w:rsidR="00C72F1D" w:rsidRDefault="001B7706">
            <w:pPr>
              <w:keepNext/>
              <w:keepLines/>
              <w:spacing w:after="0" w:line="240" w:lineRule="auto"/>
            </w:pPr>
            <w:r>
              <w:rPr>
                <w:sz w:val="18"/>
              </w:rPr>
              <w:t>Naknade troškova zaposlenima (šifre 3211 do 3214)</w:t>
            </w:r>
          </w:p>
        </w:tc>
        <w:tc>
          <w:tcPr>
            <w:tcW w:w="700" w:type="dxa"/>
            <w:tcMar>
              <w:top w:w="0" w:type="dxa"/>
              <w:bottom w:w="0" w:type="dxa"/>
            </w:tcMar>
            <w:vAlign w:val="center"/>
          </w:tcPr>
          <w:p w:rsidR="00C72F1D" w:rsidRDefault="001B7706">
            <w:pPr>
              <w:keepNext/>
              <w:keepLines/>
              <w:spacing w:after="0" w:line="240" w:lineRule="auto"/>
            </w:pPr>
            <w:r>
              <w:rPr>
                <w:sz w:val="18"/>
              </w:rPr>
              <w:t>321</w:t>
            </w:r>
          </w:p>
        </w:tc>
        <w:tc>
          <w:tcPr>
            <w:tcW w:w="1860" w:type="dxa"/>
            <w:tcMar>
              <w:top w:w="0" w:type="dxa"/>
              <w:bottom w:w="0" w:type="dxa"/>
            </w:tcMar>
            <w:vAlign w:val="center"/>
          </w:tcPr>
          <w:p w:rsidR="00C72F1D" w:rsidRDefault="001B7706">
            <w:pPr>
              <w:keepNext/>
              <w:keepLines/>
              <w:spacing w:after="0" w:line="240" w:lineRule="auto"/>
              <w:jc w:val="right"/>
            </w:pPr>
            <w:r>
              <w:rPr>
                <w:sz w:val="18"/>
              </w:rPr>
              <w:t>211.700,11</w:t>
            </w:r>
          </w:p>
        </w:tc>
        <w:tc>
          <w:tcPr>
            <w:tcW w:w="1860" w:type="dxa"/>
            <w:tcMar>
              <w:top w:w="0" w:type="dxa"/>
              <w:bottom w:w="0" w:type="dxa"/>
            </w:tcMar>
            <w:vAlign w:val="center"/>
          </w:tcPr>
          <w:p w:rsidR="00C72F1D" w:rsidRDefault="001B7706">
            <w:pPr>
              <w:keepNext/>
              <w:keepLines/>
              <w:spacing w:after="0" w:line="240" w:lineRule="auto"/>
              <w:jc w:val="right"/>
            </w:pPr>
            <w:r>
              <w:rPr>
                <w:sz w:val="18"/>
              </w:rPr>
              <w:t>221.108,70</w:t>
            </w:r>
          </w:p>
        </w:tc>
        <w:tc>
          <w:tcPr>
            <w:tcW w:w="700" w:type="dxa"/>
            <w:tcMar>
              <w:top w:w="0" w:type="dxa"/>
              <w:bottom w:w="0" w:type="dxa"/>
            </w:tcMar>
            <w:vAlign w:val="center"/>
          </w:tcPr>
          <w:p w:rsidR="00C72F1D" w:rsidRDefault="001B7706">
            <w:pPr>
              <w:keepNext/>
              <w:keepLines/>
              <w:spacing w:after="0" w:line="240" w:lineRule="auto"/>
              <w:jc w:val="right"/>
            </w:pPr>
            <w:r>
              <w:rPr>
                <w:sz w:val="18"/>
              </w:rPr>
              <w:t>104,4</w:t>
            </w:r>
          </w:p>
        </w:tc>
      </w:tr>
    </w:tbl>
    <w:p w:rsidR="00C72F1D" w:rsidRDefault="00C72F1D">
      <w:pPr>
        <w:spacing w:after="0"/>
      </w:pPr>
    </w:p>
    <w:p w:rsidR="00C72F1D" w:rsidRDefault="001B7706" w:rsidP="00CA585B">
      <w:pPr>
        <w:jc w:val="both"/>
      </w:pPr>
      <w:r>
        <w:t>Ukupni troškovi u poslovnoj 2026. godini iznose 221.108,70 eura, što predstavlja povećanje od 4,40 %, odnosno 9.408,59 eura u odnosu na isto razdoblje prethodne godine.</w:t>
      </w:r>
    </w:p>
    <w:p w:rsidR="00C72F1D" w:rsidRDefault="001B7706" w:rsidP="00CA585B">
      <w:pPr>
        <w:jc w:val="both"/>
      </w:pPr>
      <w:r>
        <w:t>Povećanje troškova rezultat je većeg broja službenih putovanja zaposlenika te intenzivnijih aktivnosti stručnog usavršavanja. U poslovnoj 2026. godini planirano je otvaranje hotela, zbog čega je bilo potrebno sudjelovati na sajmovima i promotivnim aktivnostima radi informiranja i privlačenja potencijalnih gostiju, što je također utjecalo na rast ove skupine rashoda. U prethodnoj godini ova skupina rashoda bila je značajno reducirana, sukladno odluci Uprave bolnice o racionalizaciji troškova zbog izvođenja radova na projektu „Unapređenje kvalitete smještaja i sadržaja hotela Minerva“. Zbog očekivanog pada prihoda tijekom trajanja radova, operativni izdaci bili su svedeni na minimalnu razinu.</w:t>
      </w:r>
    </w:p>
    <w:p w:rsidR="00C72F1D" w:rsidRDefault="00C72F1D"/>
    <w:p w:rsidR="00C72F1D" w:rsidRDefault="001B7706">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322</w:t>
            </w:r>
          </w:p>
        </w:tc>
        <w:tc>
          <w:tcPr>
            <w:tcW w:w="3180" w:type="dxa"/>
            <w:tcMar>
              <w:top w:w="0" w:type="dxa"/>
              <w:bottom w:w="0" w:type="dxa"/>
            </w:tcMar>
            <w:vAlign w:val="center"/>
          </w:tcPr>
          <w:p w:rsidR="00C72F1D" w:rsidRDefault="001B7706">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C72F1D" w:rsidRDefault="001B7706">
            <w:pPr>
              <w:keepNext/>
              <w:keepLines/>
              <w:spacing w:after="0" w:line="240" w:lineRule="auto"/>
            </w:pPr>
            <w:r>
              <w:rPr>
                <w:sz w:val="18"/>
              </w:rPr>
              <w:t>322</w:t>
            </w:r>
          </w:p>
        </w:tc>
        <w:tc>
          <w:tcPr>
            <w:tcW w:w="1860" w:type="dxa"/>
            <w:tcMar>
              <w:top w:w="0" w:type="dxa"/>
              <w:bottom w:w="0" w:type="dxa"/>
            </w:tcMar>
            <w:vAlign w:val="center"/>
          </w:tcPr>
          <w:p w:rsidR="00C72F1D" w:rsidRDefault="001B7706">
            <w:pPr>
              <w:keepNext/>
              <w:keepLines/>
              <w:spacing w:after="0" w:line="240" w:lineRule="auto"/>
              <w:jc w:val="right"/>
            </w:pPr>
            <w:r>
              <w:rPr>
                <w:sz w:val="18"/>
              </w:rPr>
              <w:t>618.603,15</w:t>
            </w:r>
          </w:p>
        </w:tc>
        <w:tc>
          <w:tcPr>
            <w:tcW w:w="1860" w:type="dxa"/>
            <w:tcMar>
              <w:top w:w="0" w:type="dxa"/>
              <w:bottom w:w="0" w:type="dxa"/>
            </w:tcMar>
            <w:vAlign w:val="center"/>
          </w:tcPr>
          <w:p w:rsidR="00C72F1D" w:rsidRDefault="001B7706">
            <w:pPr>
              <w:keepNext/>
              <w:keepLines/>
              <w:spacing w:after="0" w:line="240" w:lineRule="auto"/>
              <w:jc w:val="right"/>
            </w:pPr>
            <w:r>
              <w:rPr>
                <w:sz w:val="18"/>
              </w:rPr>
              <w:t>506.182,36</w:t>
            </w:r>
          </w:p>
        </w:tc>
        <w:tc>
          <w:tcPr>
            <w:tcW w:w="700" w:type="dxa"/>
            <w:tcMar>
              <w:top w:w="0" w:type="dxa"/>
              <w:bottom w:w="0" w:type="dxa"/>
            </w:tcMar>
            <w:vAlign w:val="center"/>
          </w:tcPr>
          <w:p w:rsidR="00C72F1D" w:rsidRDefault="001B7706">
            <w:pPr>
              <w:keepNext/>
              <w:keepLines/>
              <w:spacing w:after="0" w:line="240" w:lineRule="auto"/>
              <w:jc w:val="right"/>
            </w:pPr>
            <w:r>
              <w:rPr>
                <w:sz w:val="18"/>
              </w:rPr>
              <w:t>81,8</w:t>
            </w:r>
          </w:p>
        </w:tc>
      </w:tr>
    </w:tbl>
    <w:p w:rsidR="00C72F1D" w:rsidRDefault="00C72F1D">
      <w:pPr>
        <w:spacing w:after="0"/>
      </w:pPr>
    </w:p>
    <w:p w:rsidR="00C72F1D" w:rsidRDefault="001B7706" w:rsidP="00CA585B">
      <w:pPr>
        <w:jc w:val="both"/>
      </w:pPr>
      <w:r>
        <w:t>Ukupni troškovi u promatranom razdoblju iznose 506.182,36 eura, što predstavlja smanjenje od 18,20 % odnosno 112.420,79 eura u odnosu na isto razdoblje prethodne, 2025. godine. Smanjenje ukupnih troškova primarno je rezultat nižih izdataka za energiju, što je izravna posljedica zatvaranja objekta Minerva s danom 28. veljače 2025. godine. Osim toga, zabilježeni su i manji troškovi za materijal potreban za tekuće i investicijsko održavanje, što je dodatno doprinijelo ukupnom smanjenju troškova u ovoj kategoriji.</w:t>
      </w:r>
      <w:r w:rsidR="00CA585B">
        <w:t xml:space="preserve"> </w:t>
      </w:r>
      <w:r>
        <w:t>S druge strane, evidentiran je rast izdataka za materijal i sirovine što je povezano s rastom cijena.</w:t>
      </w:r>
    </w:p>
    <w:p w:rsidR="00C72F1D" w:rsidRDefault="001B7706" w:rsidP="00CA585B">
      <w:pPr>
        <w:jc w:val="both"/>
      </w:pPr>
      <w:r>
        <w:lastRenderedPageBreak/>
        <w:t>Ovakva kretanja potvrđuju učinak privremenog zatvaranja objekta na operativne troškove i odražavaju ciljano upravljanje resursima u uvjetima smanjene poslovne aktivnosti.</w:t>
      </w:r>
    </w:p>
    <w:p w:rsidR="00C72F1D" w:rsidRDefault="00C72F1D"/>
    <w:p w:rsidR="00C72F1D" w:rsidRDefault="001B7706">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323</w:t>
            </w:r>
          </w:p>
        </w:tc>
        <w:tc>
          <w:tcPr>
            <w:tcW w:w="3180" w:type="dxa"/>
            <w:tcMar>
              <w:top w:w="0" w:type="dxa"/>
              <w:bottom w:w="0" w:type="dxa"/>
            </w:tcMar>
            <w:vAlign w:val="center"/>
          </w:tcPr>
          <w:p w:rsidR="00C72F1D" w:rsidRDefault="001B7706">
            <w:pPr>
              <w:keepNext/>
              <w:keepLines/>
              <w:spacing w:after="0" w:line="240" w:lineRule="auto"/>
            </w:pPr>
            <w:r>
              <w:rPr>
                <w:sz w:val="18"/>
              </w:rPr>
              <w:t>Rashodi za usluge (šifre 3231 do 3239)</w:t>
            </w:r>
          </w:p>
        </w:tc>
        <w:tc>
          <w:tcPr>
            <w:tcW w:w="700" w:type="dxa"/>
            <w:tcMar>
              <w:top w:w="0" w:type="dxa"/>
              <w:bottom w:w="0" w:type="dxa"/>
            </w:tcMar>
            <w:vAlign w:val="center"/>
          </w:tcPr>
          <w:p w:rsidR="00C72F1D" w:rsidRDefault="001B7706">
            <w:pPr>
              <w:keepNext/>
              <w:keepLines/>
              <w:spacing w:after="0" w:line="240" w:lineRule="auto"/>
            </w:pPr>
            <w:r>
              <w:rPr>
                <w:sz w:val="18"/>
              </w:rPr>
              <w:t>323</w:t>
            </w:r>
          </w:p>
        </w:tc>
        <w:tc>
          <w:tcPr>
            <w:tcW w:w="1860" w:type="dxa"/>
            <w:tcMar>
              <w:top w:w="0" w:type="dxa"/>
              <w:bottom w:w="0" w:type="dxa"/>
            </w:tcMar>
            <w:vAlign w:val="center"/>
          </w:tcPr>
          <w:p w:rsidR="00C72F1D" w:rsidRDefault="001B7706">
            <w:pPr>
              <w:keepNext/>
              <w:keepLines/>
              <w:spacing w:after="0" w:line="240" w:lineRule="auto"/>
              <w:jc w:val="right"/>
            </w:pPr>
            <w:r>
              <w:rPr>
                <w:sz w:val="18"/>
              </w:rPr>
              <w:t>485.231,23</w:t>
            </w:r>
          </w:p>
        </w:tc>
        <w:tc>
          <w:tcPr>
            <w:tcW w:w="1860" w:type="dxa"/>
            <w:tcMar>
              <w:top w:w="0" w:type="dxa"/>
              <w:bottom w:w="0" w:type="dxa"/>
            </w:tcMar>
            <w:vAlign w:val="center"/>
          </w:tcPr>
          <w:p w:rsidR="00C72F1D" w:rsidRDefault="001B7706">
            <w:pPr>
              <w:keepNext/>
              <w:keepLines/>
              <w:spacing w:after="0" w:line="240" w:lineRule="auto"/>
              <w:jc w:val="right"/>
            </w:pPr>
            <w:r>
              <w:rPr>
                <w:sz w:val="18"/>
              </w:rPr>
              <w:t>545.525,47</w:t>
            </w:r>
          </w:p>
        </w:tc>
        <w:tc>
          <w:tcPr>
            <w:tcW w:w="700" w:type="dxa"/>
            <w:tcMar>
              <w:top w:w="0" w:type="dxa"/>
              <w:bottom w:w="0" w:type="dxa"/>
            </w:tcMar>
            <w:vAlign w:val="center"/>
          </w:tcPr>
          <w:p w:rsidR="00C72F1D" w:rsidRDefault="001B7706">
            <w:pPr>
              <w:keepNext/>
              <w:keepLines/>
              <w:spacing w:after="0" w:line="240" w:lineRule="auto"/>
              <w:jc w:val="right"/>
            </w:pPr>
            <w:r>
              <w:rPr>
                <w:sz w:val="18"/>
              </w:rPr>
              <w:t>112,4</w:t>
            </w:r>
          </w:p>
        </w:tc>
      </w:tr>
    </w:tbl>
    <w:p w:rsidR="00C72F1D" w:rsidRDefault="00C72F1D">
      <w:pPr>
        <w:spacing w:after="0"/>
      </w:pPr>
    </w:p>
    <w:p w:rsidR="00C72F1D" w:rsidRDefault="001B7706" w:rsidP="00CA585B">
      <w:pPr>
        <w:jc w:val="both"/>
      </w:pPr>
      <w:r>
        <w:t>Povećanje troškova ponajprije je evidentirano na stavkama koje se odnose na usluge tekućeg i investicijskog održavanja, zakupnina i najamnina, intelektualnih i osobnih usluga te računalnih usluga. Najveći iznos povećanja zabilježen je upravo kod usluga tekućeg i investicijskog održavanja, s obzirom na to da su u prethodnoj godini realizirana isključivo nužna ulaganja. Također, značajan rast evidentiran je kod zakupnina i najamnina, koje se odnose na najam poslovnog prostora u Medicinskoj školi Varaždin za pripremanje obroka učenicima i ostalim zainteresiranim osobama, kao i na najam skladišnog prostora za deponiranje opreme iz objekta Minerva, koji je zbog opsežnih radova morao biti ispražnjen. S druge strane, smanjenje troškova zabilježeno je kod komunalnih usluga (voda, odvoz otpada, deratizacija i dezinsekcija), usluga telefona, pošte i prijevoza, kao i kod zdravstvenih, veterinarskih te dijela intelektualnih usluga.</w:t>
      </w:r>
    </w:p>
    <w:p w:rsidR="00C72F1D" w:rsidRDefault="00C72F1D"/>
    <w:p w:rsidR="00C72F1D" w:rsidRDefault="001B7706">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325</w:t>
            </w:r>
          </w:p>
        </w:tc>
        <w:tc>
          <w:tcPr>
            <w:tcW w:w="3180" w:type="dxa"/>
            <w:tcMar>
              <w:top w:w="0" w:type="dxa"/>
              <w:bottom w:w="0" w:type="dxa"/>
            </w:tcMar>
            <w:vAlign w:val="center"/>
          </w:tcPr>
          <w:p w:rsidR="00C72F1D" w:rsidRDefault="001B7706">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C72F1D" w:rsidRDefault="001B7706">
            <w:pPr>
              <w:keepNext/>
              <w:keepLines/>
              <w:spacing w:after="0" w:line="240" w:lineRule="auto"/>
            </w:pPr>
            <w:r>
              <w:rPr>
                <w:sz w:val="18"/>
              </w:rPr>
              <w:t>325</w:t>
            </w:r>
          </w:p>
        </w:tc>
        <w:tc>
          <w:tcPr>
            <w:tcW w:w="1860" w:type="dxa"/>
            <w:tcMar>
              <w:top w:w="0" w:type="dxa"/>
              <w:bottom w:w="0" w:type="dxa"/>
            </w:tcMar>
            <w:vAlign w:val="center"/>
          </w:tcPr>
          <w:p w:rsidR="00C72F1D" w:rsidRDefault="001B7706">
            <w:pPr>
              <w:keepNext/>
              <w:keepLines/>
              <w:spacing w:after="0" w:line="240" w:lineRule="auto"/>
              <w:jc w:val="right"/>
            </w:pPr>
            <w:r>
              <w:rPr>
                <w:sz w:val="18"/>
              </w:rPr>
              <w:t>114.251,00</w:t>
            </w:r>
          </w:p>
        </w:tc>
        <w:tc>
          <w:tcPr>
            <w:tcW w:w="1860" w:type="dxa"/>
            <w:tcMar>
              <w:top w:w="0" w:type="dxa"/>
              <w:bottom w:w="0" w:type="dxa"/>
            </w:tcMar>
            <w:vAlign w:val="center"/>
          </w:tcPr>
          <w:p w:rsidR="00C72F1D" w:rsidRDefault="001B7706">
            <w:pPr>
              <w:keepNext/>
              <w:keepLines/>
              <w:spacing w:after="0" w:line="240" w:lineRule="auto"/>
              <w:jc w:val="right"/>
            </w:pPr>
            <w:r>
              <w:rPr>
                <w:sz w:val="18"/>
              </w:rPr>
              <w:t>147.964,12</w:t>
            </w:r>
          </w:p>
        </w:tc>
        <w:tc>
          <w:tcPr>
            <w:tcW w:w="700" w:type="dxa"/>
            <w:tcMar>
              <w:top w:w="0" w:type="dxa"/>
              <w:bottom w:w="0" w:type="dxa"/>
            </w:tcMar>
            <w:vAlign w:val="center"/>
          </w:tcPr>
          <w:p w:rsidR="00C72F1D" w:rsidRDefault="001B7706">
            <w:pPr>
              <w:keepNext/>
              <w:keepLines/>
              <w:spacing w:after="0" w:line="240" w:lineRule="auto"/>
              <w:jc w:val="right"/>
            </w:pPr>
            <w:r>
              <w:rPr>
                <w:sz w:val="18"/>
              </w:rPr>
              <w:t>129,5</w:t>
            </w:r>
          </w:p>
        </w:tc>
      </w:tr>
    </w:tbl>
    <w:p w:rsidR="00C72F1D" w:rsidRDefault="00C72F1D">
      <w:pPr>
        <w:spacing w:after="0"/>
      </w:pPr>
    </w:p>
    <w:p w:rsidR="00C72F1D" w:rsidRDefault="001B7706" w:rsidP="00CA585B">
      <w:pPr>
        <w:jc w:val="both"/>
      </w:pPr>
      <w:r>
        <w:t>Ukupni troškovi za lijekove i potrošni medicinski materijal u poslovnoj 2026. godini iznose 147.964,12 eura, što je povećanje za 29,5%, odnosno za 33.713,12 eura u odnosu na isto razdoblje prethodne godine.</w:t>
      </w:r>
    </w:p>
    <w:p w:rsidR="00C72F1D" w:rsidRDefault="001B7706" w:rsidP="00CA585B">
      <w:pPr>
        <w:jc w:val="both"/>
      </w:pPr>
      <w:r>
        <w:t xml:space="preserve">Ovaj rast prvenstveno se može pripisati promjenama u strukturi korisnika koje bolnica zbrinjava. Naime, različita dijagnostička i terapijska </w:t>
      </w:r>
      <w:proofErr w:type="spellStart"/>
      <w:r>
        <w:t>profilacija</w:t>
      </w:r>
      <w:proofErr w:type="spellEnd"/>
      <w:r>
        <w:t xml:space="preserve"> pacijenata može uvjetovati povećanu potrošnju određenih vrsta lijekova i medicinskog materijala, neovisno o ukupnom broju korisnika.</w:t>
      </w:r>
    </w:p>
    <w:p w:rsidR="00C72F1D" w:rsidRDefault="00C72F1D" w:rsidP="00CA585B">
      <w:pPr>
        <w:jc w:val="both"/>
      </w:pPr>
    </w:p>
    <w:p w:rsidR="00C72F1D" w:rsidRDefault="001B7706">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329</w:t>
            </w:r>
          </w:p>
        </w:tc>
        <w:tc>
          <w:tcPr>
            <w:tcW w:w="3180" w:type="dxa"/>
            <w:tcMar>
              <w:top w:w="0" w:type="dxa"/>
              <w:bottom w:w="0" w:type="dxa"/>
            </w:tcMar>
            <w:vAlign w:val="center"/>
          </w:tcPr>
          <w:p w:rsidR="00C72F1D" w:rsidRDefault="001B7706">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C72F1D" w:rsidRDefault="001B7706">
            <w:pPr>
              <w:keepNext/>
              <w:keepLines/>
              <w:spacing w:after="0" w:line="240" w:lineRule="auto"/>
            </w:pPr>
            <w:r>
              <w:rPr>
                <w:sz w:val="18"/>
              </w:rPr>
              <w:t>329</w:t>
            </w:r>
          </w:p>
        </w:tc>
        <w:tc>
          <w:tcPr>
            <w:tcW w:w="1860" w:type="dxa"/>
            <w:tcMar>
              <w:top w:w="0" w:type="dxa"/>
              <w:bottom w:w="0" w:type="dxa"/>
            </w:tcMar>
            <w:vAlign w:val="center"/>
          </w:tcPr>
          <w:p w:rsidR="00C72F1D" w:rsidRDefault="001B7706">
            <w:pPr>
              <w:keepNext/>
              <w:keepLines/>
              <w:spacing w:after="0" w:line="240" w:lineRule="auto"/>
              <w:jc w:val="right"/>
            </w:pPr>
            <w:r>
              <w:rPr>
                <w:sz w:val="18"/>
              </w:rPr>
              <w:t>74.732,49</w:t>
            </w:r>
          </w:p>
        </w:tc>
        <w:tc>
          <w:tcPr>
            <w:tcW w:w="1860" w:type="dxa"/>
            <w:tcMar>
              <w:top w:w="0" w:type="dxa"/>
              <w:bottom w:w="0" w:type="dxa"/>
            </w:tcMar>
            <w:vAlign w:val="center"/>
          </w:tcPr>
          <w:p w:rsidR="00C72F1D" w:rsidRDefault="001B7706">
            <w:pPr>
              <w:keepNext/>
              <w:keepLines/>
              <w:spacing w:after="0" w:line="240" w:lineRule="auto"/>
              <w:jc w:val="right"/>
            </w:pPr>
            <w:r>
              <w:rPr>
                <w:sz w:val="18"/>
              </w:rPr>
              <w:t>67.493,78</w:t>
            </w:r>
          </w:p>
        </w:tc>
        <w:tc>
          <w:tcPr>
            <w:tcW w:w="700" w:type="dxa"/>
            <w:tcMar>
              <w:top w:w="0" w:type="dxa"/>
              <w:bottom w:w="0" w:type="dxa"/>
            </w:tcMar>
            <w:vAlign w:val="center"/>
          </w:tcPr>
          <w:p w:rsidR="00C72F1D" w:rsidRDefault="001B7706">
            <w:pPr>
              <w:keepNext/>
              <w:keepLines/>
              <w:spacing w:after="0" w:line="240" w:lineRule="auto"/>
              <w:jc w:val="right"/>
            </w:pPr>
            <w:r>
              <w:rPr>
                <w:sz w:val="18"/>
              </w:rPr>
              <w:t>90,3</w:t>
            </w:r>
          </w:p>
        </w:tc>
      </w:tr>
    </w:tbl>
    <w:p w:rsidR="00C72F1D" w:rsidRDefault="00C72F1D">
      <w:pPr>
        <w:spacing w:after="0"/>
      </w:pPr>
    </w:p>
    <w:p w:rsidR="00C72F1D" w:rsidRDefault="001B7706" w:rsidP="00CA585B">
      <w:pPr>
        <w:jc w:val="both"/>
      </w:pPr>
      <w:r>
        <w:t>Ukupni troškovi u ovoj kategoriji bilježe smanjenje od 9,70 %, odnosno za 7.238,71 eura u odnosu na isto razdoblje prethodne godine.</w:t>
      </w:r>
    </w:p>
    <w:p w:rsidR="00C72F1D" w:rsidRDefault="001B7706" w:rsidP="00CA585B">
      <w:pPr>
        <w:jc w:val="both"/>
      </w:pPr>
      <w:r>
        <w:t>Unatoč ukupnom smanjenju, povećanje je evidentirano na pojedinim stavkama, i to: troškovima reprezentacije, koji su veći za 122,50 %, </w:t>
      </w:r>
      <w:r>
        <w:br/>
        <w:t>naknadama za rad članova Upravnog vijeća, koje bilježe povećanje od 123,60 %, temeljem nove Odluke o utvrđivanju naknade za rad predsjednika i članova Upravnog vijeća s primjenom od 1. veljače 2026. godine, kojom je povećan neto iznos naknade na 265,00 eura za predsjednika te 225,00 eura za člana,  troškovima sudskih postupaka, koji u prethodnoj godini nisu bili evidentirani, dok je u tekućoj godini zabilježena isplata naknade za očitovanje vještaka u sudskom sporu, premijama osiguranja, koje su povećane nakon provedeno</w:t>
      </w:r>
      <w:r w:rsidR="00CA585B">
        <w:t xml:space="preserve">g novog postupka javne nabave.  </w:t>
      </w:r>
      <w:r>
        <w:t xml:space="preserve">S druge strane, značajno smanjenje evidentirano je na ostalim nespomenutim rashodima poslovanja, koji su manji za 42,70 %. Navedeno se ponajprije odnosi na naknade za korištenje voda te provizije </w:t>
      </w:r>
      <w:proofErr w:type="spellStart"/>
      <w:r>
        <w:t>kartičarskim</w:t>
      </w:r>
      <w:proofErr w:type="spellEnd"/>
      <w:r>
        <w:t xml:space="preserve"> kućama, što je izravno povezano sa zatvaranjem objekta Minerva, uslijed čega je značajno smanjen promet i naplata usluga.</w:t>
      </w:r>
    </w:p>
    <w:p w:rsidR="00C72F1D" w:rsidRDefault="00C72F1D"/>
    <w:p w:rsidR="00C72F1D" w:rsidRDefault="001B7706">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342</w:t>
            </w:r>
          </w:p>
        </w:tc>
        <w:tc>
          <w:tcPr>
            <w:tcW w:w="3180" w:type="dxa"/>
            <w:tcMar>
              <w:top w:w="0" w:type="dxa"/>
              <w:bottom w:w="0" w:type="dxa"/>
            </w:tcMar>
            <w:vAlign w:val="center"/>
          </w:tcPr>
          <w:p w:rsidR="00C72F1D" w:rsidRDefault="001B7706">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C72F1D" w:rsidRDefault="001B7706">
            <w:pPr>
              <w:keepNext/>
              <w:keepLines/>
              <w:spacing w:after="0" w:line="240" w:lineRule="auto"/>
            </w:pPr>
            <w:r>
              <w:rPr>
                <w:sz w:val="18"/>
              </w:rPr>
              <w:t>342</w:t>
            </w:r>
          </w:p>
        </w:tc>
        <w:tc>
          <w:tcPr>
            <w:tcW w:w="1860" w:type="dxa"/>
            <w:tcMar>
              <w:top w:w="0" w:type="dxa"/>
              <w:bottom w:w="0" w:type="dxa"/>
            </w:tcMar>
            <w:vAlign w:val="center"/>
          </w:tcPr>
          <w:p w:rsidR="00C72F1D" w:rsidRDefault="001B7706">
            <w:pPr>
              <w:keepNext/>
              <w:keepLines/>
              <w:spacing w:after="0" w:line="240" w:lineRule="auto"/>
              <w:jc w:val="right"/>
            </w:pPr>
            <w:r>
              <w:rPr>
                <w:sz w:val="18"/>
              </w:rPr>
              <w:t>23.717,68</w:t>
            </w:r>
          </w:p>
        </w:tc>
        <w:tc>
          <w:tcPr>
            <w:tcW w:w="1860" w:type="dxa"/>
            <w:tcMar>
              <w:top w:w="0" w:type="dxa"/>
              <w:bottom w:w="0" w:type="dxa"/>
            </w:tcMar>
            <w:vAlign w:val="center"/>
          </w:tcPr>
          <w:p w:rsidR="00C72F1D" w:rsidRDefault="001B7706">
            <w:pPr>
              <w:keepNext/>
              <w:keepLines/>
              <w:spacing w:after="0" w:line="240" w:lineRule="auto"/>
              <w:jc w:val="right"/>
            </w:pPr>
            <w:r>
              <w:rPr>
                <w:sz w:val="18"/>
              </w:rPr>
              <w:t>28.676,41</w:t>
            </w:r>
          </w:p>
        </w:tc>
        <w:tc>
          <w:tcPr>
            <w:tcW w:w="700" w:type="dxa"/>
            <w:tcMar>
              <w:top w:w="0" w:type="dxa"/>
              <w:bottom w:w="0" w:type="dxa"/>
            </w:tcMar>
            <w:vAlign w:val="center"/>
          </w:tcPr>
          <w:p w:rsidR="00C72F1D" w:rsidRDefault="001B7706">
            <w:pPr>
              <w:keepNext/>
              <w:keepLines/>
              <w:spacing w:after="0" w:line="240" w:lineRule="auto"/>
              <w:jc w:val="right"/>
            </w:pPr>
            <w:r>
              <w:rPr>
                <w:sz w:val="18"/>
              </w:rPr>
              <w:t>120,9</w:t>
            </w:r>
          </w:p>
        </w:tc>
      </w:tr>
    </w:tbl>
    <w:p w:rsidR="00C72F1D" w:rsidRDefault="00C72F1D">
      <w:pPr>
        <w:spacing w:after="0"/>
      </w:pPr>
    </w:p>
    <w:p w:rsidR="00C72F1D" w:rsidRDefault="001B7706" w:rsidP="00CA585B">
      <w:pPr>
        <w:jc w:val="both"/>
      </w:pPr>
      <w:r>
        <w:t xml:space="preserve">Ukupni troškovi iznose 28.676,41 eura, što predstavlja povećanje od 20,90 %, odnosno 4.958,73 eura u odnosu na isto razdoblje prethodne, 2025. godine. Troškovi se odnose na redovne kamate po okvirnom </w:t>
      </w:r>
      <w:proofErr w:type="spellStart"/>
      <w:r>
        <w:t>cash</w:t>
      </w:r>
      <w:proofErr w:type="spellEnd"/>
      <w:r>
        <w:t xml:space="preserve"> </w:t>
      </w:r>
      <w:proofErr w:type="spellStart"/>
      <w:r>
        <w:t>pool</w:t>
      </w:r>
      <w:proofErr w:type="spellEnd"/>
      <w:r>
        <w:t xml:space="preserve"> kreditu te investicijskim kreditima (Zagrebačka banka i HBOR). Pri tome je evidentirano smanjenje kamata po kreditima HBOR-a, uz istodobno povećanje kamata po kreditima Zagrebačke banke. U poslovnoj godini započelo je korištenje dugoročnog kredita Zagrebačke banke za projekt „Unapređenje kvalitete smještaja i sadržaja hotela Minerva“, slijedom čega su počele dospijevati i kamate po navedenom kreditu. Također, zabilježen je i rast kamata po okvirnom kratkoročnom </w:t>
      </w:r>
      <w:proofErr w:type="spellStart"/>
      <w:r>
        <w:t>cash</w:t>
      </w:r>
      <w:proofErr w:type="spellEnd"/>
      <w:r>
        <w:t xml:space="preserve"> </w:t>
      </w:r>
      <w:proofErr w:type="spellStart"/>
      <w:r>
        <w:t>pool</w:t>
      </w:r>
      <w:proofErr w:type="spellEnd"/>
      <w:r>
        <w:t xml:space="preserve"> kreditu, uslijed njegovog većeg korištenja u odnosu na prethodnu godinu.</w:t>
      </w:r>
    </w:p>
    <w:p w:rsidR="00C72F1D" w:rsidRDefault="00C72F1D"/>
    <w:p w:rsidR="00C72F1D" w:rsidRDefault="001B7706">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343</w:t>
            </w:r>
          </w:p>
        </w:tc>
        <w:tc>
          <w:tcPr>
            <w:tcW w:w="3180" w:type="dxa"/>
            <w:tcMar>
              <w:top w:w="0" w:type="dxa"/>
              <w:bottom w:w="0" w:type="dxa"/>
            </w:tcMar>
            <w:vAlign w:val="center"/>
          </w:tcPr>
          <w:p w:rsidR="00C72F1D" w:rsidRDefault="001B7706">
            <w:pPr>
              <w:keepNext/>
              <w:keepLines/>
              <w:spacing w:after="0" w:line="240" w:lineRule="auto"/>
            </w:pPr>
            <w:r>
              <w:rPr>
                <w:sz w:val="18"/>
              </w:rPr>
              <w:t>Ostali financijski rashodi (šifre 3431 do 3434)</w:t>
            </w:r>
          </w:p>
        </w:tc>
        <w:tc>
          <w:tcPr>
            <w:tcW w:w="700" w:type="dxa"/>
            <w:tcMar>
              <w:top w:w="0" w:type="dxa"/>
              <w:bottom w:w="0" w:type="dxa"/>
            </w:tcMar>
            <w:vAlign w:val="center"/>
          </w:tcPr>
          <w:p w:rsidR="00C72F1D" w:rsidRDefault="001B7706">
            <w:pPr>
              <w:keepNext/>
              <w:keepLines/>
              <w:spacing w:after="0" w:line="240" w:lineRule="auto"/>
            </w:pPr>
            <w:r>
              <w:rPr>
                <w:sz w:val="18"/>
              </w:rPr>
              <w:t>343</w:t>
            </w:r>
          </w:p>
        </w:tc>
        <w:tc>
          <w:tcPr>
            <w:tcW w:w="1860" w:type="dxa"/>
            <w:tcMar>
              <w:top w:w="0" w:type="dxa"/>
              <w:bottom w:w="0" w:type="dxa"/>
            </w:tcMar>
            <w:vAlign w:val="center"/>
          </w:tcPr>
          <w:p w:rsidR="00C72F1D" w:rsidRDefault="001B7706">
            <w:pPr>
              <w:keepNext/>
              <w:keepLines/>
              <w:spacing w:after="0" w:line="240" w:lineRule="auto"/>
              <w:jc w:val="right"/>
            </w:pPr>
            <w:r>
              <w:rPr>
                <w:sz w:val="18"/>
              </w:rPr>
              <w:t>9.556,04</w:t>
            </w:r>
          </w:p>
        </w:tc>
        <w:tc>
          <w:tcPr>
            <w:tcW w:w="1860" w:type="dxa"/>
            <w:tcMar>
              <w:top w:w="0" w:type="dxa"/>
              <w:bottom w:w="0" w:type="dxa"/>
            </w:tcMar>
            <w:vAlign w:val="center"/>
          </w:tcPr>
          <w:p w:rsidR="00C72F1D" w:rsidRDefault="001B7706">
            <w:pPr>
              <w:keepNext/>
              <w:keepLines/>
              <w:spacing w:after="0" w:line="240" w:lineRule="auto"/>
              <w:jc w:val="right"/>
            </w:pPr>
            <w:r>
              <w:rPr>
                <w:sz w:val="18"/>
              </w:rPr>
              <w:t>9.396,41</w:t>
            </w:r>
          </w:p>
        </w:tc>
        <w:tc>
          <w:tcPr>
            <w:tcW w:w="700" w:type="dxa"/>
            <w:tcMar>
              <w:top w:w="0" w:type="dxa"/>
              <w:bottom w:w="0" w:type="dxa"/>
            </w:tcMar>
            <w:vAlign w:val="center"/>
          </w:tcPr>
          <w:p w:rsidR="00C72F1D" w:rsidRDefault="001B7706">
            <w:pPr>
              <w:keepNext/>
              <w:keepLines/>
              <w:spacing w:after="0" w:line="240" w:lineRule="auto"/>
              <w:jc w:val="right"/>
            </w:pPr>
            <w:r>
              <w:rPr>
                <w:sz w:val="18"/>
              </w:rPr>
              <w:t>98,3</w:t>
            </w:r>
          </w:p>
        </w:tc>
      </w:tr>
    </w:tbl>
    <w:p w:rsidR="00C72F1D" w:rsidRDefault="00C72F1D">
      <w:pPr>
        <w:spacing w:after="0"/>
      </w:pPr>
    </w:p>
    <w:p w:rsidR="00C72F1D" w:rsidRDefault="001B7706" w:rsidP="00CA585B">
      <w:pPr>
        <w:jc w:val="both"/>
      </w:pPr>
      <w:r>
        <w:t>U odnosu na isto razdoblje prethodne, 2025. godine, ukupni troškovi bilježe smanjenje od 1,70 %, odnosno 159,63 eura. Smanjenje je prvenstveno rezultat nižih troškova zateznih kamata (-32,20 %). Istodobno, zabilježen je porast troškova bankarskih usluga i usluga platnog prometa (+9,50 %). U dijelu zateznih kamata, s dobavljačima su provedeni pregovori vezani uz otpis kamata na zakašnjela plaćanja. Također, evidentirane su zatezne kamate za porez na dodanu vrijednost, nastale zbog nepravodobnog plaćanja PDV-a po privremenoj situaciji za radove na projektu „Unapređenje kvalitete smještaja i sadržaja hotela Minerva“, do čega je došlo uslijed produljenih kontrola nadležnih tijela.</w:t>
      </w:r>
    </w:p>
    <w:p w:rsidR="00C72F1D" w:rsidRDefault="00C72F1D"/>
    <w:p w:rsidR="00C72F1D" w:rsidRDefault="001B7706">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372</w:t>
            </w:r>
          </w:p>
        </w:tc>
        <w:tc>
          <w:tcPr>
            <w:tcW w:w="3180" w:type="dxa"/>
            <w:tcMar>
              <w:top w:w="0" w:type="dxa"/>
              <w:bottom w:w="0" w:type="dxa"/>
            </w:tcMar>
            <w:vAlign w:val="center"/>
          </w:tcPr>
          <w:p w:rsidR="00C72F1D" w:rsidRDefault="001B7706">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C72F1D" w:rsidRDefault="001B7706">
            <w:pPr>
              <w:keepNext/>
              <w:keepLines/>
              <w:spacing w:after="0" w:line="240" w:lineRule="auto"/>
            </w:pPr>
            <w:r>
              <w:rPr>
                <w:sz w:val="18"/>
              </w:rPr>
              <w:t>372</w:t>
            </w:r>
          </w:p>
        </w:tc>
        <w:tc>
          <w:tcPr>
            <w:tcW w:w="1860" w:type="dxa"/>
            <w:tcMar>
              <w:top w:w="0" w:type="dxa"/>
              <w:bottom w:w="0" w:type="dxa"/>
            </w:tcMar>
            <w:vAlign w:val="center"/>
          </w:tcPr>
          <w:p w:rsidR="00C72F1D" w:rsidRDefault="001B7706">
            <w:pPr>
              <w:keepNext/>
              <w:keepLines/>
              <w:spacing w:after="0" w:line="240" w:lineRule="auto"/>
              <w:jc w:val="right"/>
            </w:pPr>
            <w:r>
              <w:rPr>
                <w:sz w:val="18"/>
              </w:rPr>
              <w:t>836,19</w:t>
            </w:r>
          </w:p>
        </w:tc>
        <w:tc>
          <w:tcPr>
            <w:tcW w:w="1860" w:type="dxa"/>
            <w:tcMar>
              <w:top w:w="0" w:type="dxa"/>
              <w:bottom w:w="0" w:type="dxa"/>
            </w:tcMar>
            <w:vAlign w:val="center"/>
          </w:tcPr>
          <w:p w:rsidR="00C72F1D" w:rsidRDefault="001B7706">
            <w:pPr>
              <w:keepNext/>
              <w:keepLines/>
              <w:spacing w:after="0" w:line="240" w:lineRule="auto"/>
              <w:jc w:val="right"/>
            </w:pPr>
            <w:r>
              <w:rPr>
                <w:sz w:val="18"/>
              </w:rPr>
              <w:t>557,46</w:t>
            </w:r>
          </w:p>
        </w:tc>
        <w:tc>
          <w:tcPr>
            <w:tcW w:w="700" w:type="dxa"/>
            <w:tcMar>
              <w:top w:w="0" w:type="dxa"/>
              <w:bottom w:w="0" w:type="dxa"/>
            </w:tcMar>
            <w:vAlign w:val="center"/>
          </w:tcPr>
          <w:p w:rsidR="00C72F1D" w:rsidRDefault="001B7706">
            <w:pPr>
              <w:keepNext/>
              <w:keepLines/>
              <w:spacing w:after="0" w:line="240" w:lineRule="auto"/>
              <w:jc w:val="right"/>
            </w:pPr>
            <w:r>
              <w:rPr>
                <w:sz w:val="18"/>
              </w:rPr>
              <w:t>66,7</w:t>
            </w:r>
          </w:p>
        </w:tc>
      </w:tr>
    </w:tbl>
    <w:p w:rsidR="00C72F1D" w:rsidRDefault="00C72F1D">
      <w:pPr>
        <w:spacing w:after="0"/>
      </w:pPr>
    </w:p>
    <w:p w:rsidR="00C72F1D" w:rsidRDefault="001B7706" w:rsidP="00CA585B">
      <w:pPr>
        <w:jc w:val="both"/>
      </w:pPr>
      <w:r>
        <w:t>Izvršenje iznosi 557,46 eura, što je za 33,30%, odnosno za 278,73 eura manje nego prethodne godine. Trošak se odnosi na stipendije za djecu preminulih radnika. Trenutno pravo na stipendiju ostvaruje jedno dijete, dok je u istom razdoblju prethodne godine to pravo ostvarivalo troje djece.</w:t>
      </w:r>
    </w:p>
    <w:p w:rsidR="00C72F1D" w:rsidRDefault="00C72F1D"/>
    <w:p w:rsidR="00C72F1D" w:rsidRDefault="001B7706">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9661</w:t>
            </w:r>
          </w:p>
        </w:tc>
        <w:tc>
          <w:tcPr>
            <w:tcW w:w="3180" w:type="dxa"/>
            <w:tcMar>
              <w:top w:w="0" w:type="dxa"/>
              <w:bottom w:w="0" w:type="dxa"/>
            </w:tcMar>
            <w:vAlign w:val="center"/>
          </w:tcPr>
          <w:p w:rsidR="00C72F1D" w:rsidRDefault="001B7706">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C72F1D" w:rsidRDefault="001B7706">
            <w:pPr>
              <w:keepNext/>
              <w:keepLines/>
              <w:spacing w:after="0" w:line="240" w:lineRule="auto"/>
            </w:pPr>
            <w:r>
              <w:rPr>
                <w:sz w:val="18"/>
              </w:rPr>
              <w:t>9661</w:t>
            </w:r>
          </w:p>
        </w:tc>
        <w:tc>
          <w:tcPr>
            <w:tcW w:w="1860" w:type="dxa"/>
            <w:tcMar>
              <w:top w:w="0" w:type="dxa"/>
              <w:bottom w:w="0" w:type="dxa"/>
            </w:tcMar>
            <w:vAlign w:val="center"/>
          </w:tcPr>
          <w:p w:rsidR="00C72F1D" w:rsidRDefault="001B7706">
            <w:pPr>
              <w:keepNext/>
              <w:keepLines/>
              <w:spacing w:after="0" w:line="240" w:lineRule="auto"/>
              <w:jc w:val="right"/>
            </w:pPr>
            <w:r>
              <w:rPr>
                <w:sz w:val="18"/>
              </w:rPr>
              <w:t>469.474,46</w:t>
            </w:r>
          </w:p>
        </w:tc>
        <w:tc>
          <w:tcPr>
            <w:tcW w:w="1860" w:type="dxa"/>
            <w:tcMar>
              <w:top w:w="0" w:type="dxa"/>
              <w:bottom w:w="0" w:type="dxa"/>
            </w:tcMar>
            <w:vAlign w:val="center"/>
          </w:tcPr>
          <w:p w:rsidR="00C72F1D" w:rsidRDefault="001B7706">
            <w:pPr>
              <w:keepNext/>
              <w:keepLines/>
              <w:spacing w:after="0" w:line="240" w:lineRule="auto"/>
              <w:jc w:val="right"/>
            </w:pPr>
            <w:r>
              <w:rPr>
                <w:sz w:val="18"/>
              </w:rPr>
              <w:t>372.176,52</w:t>
            </w:r>
          </w:p>
        </w:tc>
        <w:tc>
          <w:tcPr>
            <w:tcW w:w="700" w:type="dxa"/>
            <w:tcMar>
              <w:top w:w="0" w:type="dxa"/>
              <w:bottom w:w="0" w:type="dxa"/>
            </w:tcMar>
            <w:vAlign w:val="center"/>
          </w:tcPr>
          <w:p w:rsidR="00C72F1D" w:rsidRDefault="001B7706">
            <w:pPr>
              <w:keepNext/>
              <w:keepLines/>
              <w:spacing w:after="0" w:line="240" w:lineRule="auto"/>
              <w:jc w:val="right"/>
            </w:pPr>
            <w:r>
              <w:rPr>
                <w:sz w:val="18"/>
              </w:rPr>
              <w:t>79,3</w:t>
            </w:r>
          </w:p>
        </w:tc>
      </w:tr>
    </w:tbl>
    <w:p w:rsidR="00C72F1D" w:rsidRDefault="00C72F1D">
      <w:pPr>
        <w:spacing w:after="0"/>
      </w:pPr>
    </w:p>
    <w:p w:rsidR="00C72F1D" w:rsidRDefault="001B7706" w:rsidP="00CA585B">
      <w:pPr>
        <w:jc w:val="both"/>
      </w:pPr>
      <w:r>
        <w:t xml:space="preserve">U tekućoj godini iznose 372.176,52 eura, što predstavlja smanjenje od 20,70 %, odnosno 97.297,94 eura u odnosu na prethodnu godinu. Smanjenje obračunatih prihoda od prodaje i usluga prvenstveno je posljedica zatvorenosti objekta Minerva od 01.03.2025. godine. U istom razdoblju prethodne godine u navedenom objektu odvijale su se poslovne aktivnosti, što je rezultiralo višim obračunatim prihodima. Ova situacija ukazuje na postojeće </w:t>
      </w:r>
      <w:proofErr w:type="spellStart"/>
      <w:r>
        <w:t>nesrazmjere</w:t>
      </w:r>
      <w:proofErr w:type="spellEnd"/>
      <w:r>
        <w:t xml:space="preserve"> između obračunatih prihoda i stvarne naplate, pri čemu se naplata potraživanja očekuje u rokovima dospijeća, uključujući i naplatu utuženih potraživanja.</w:t>
      </w:r>
    </w:p>
    <w:p w:rsidR="00C72F1D" w:rsidRDefault="00C72F1D"/>
    <w:p w:rsidR="00C72F1D" w:rsidRDefault="001B7706">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9673</w:t>
            </w:r>
          </w:p>
        </w:tc>
        <w:tc>
          <w:tcPr>
            <w:tcW w:w="3180" w:type="dxa"/>
            <w:tcMar>
              <w:top w:w="0" w:type="dxa"/>
              <w:bottom w:w="0" w:type="dxa"/>
            </w:tcMar>
            <w:vAlign w:val="center"/>
          </w:tcPr>
          <w:p w:rsidR="00C72F1D" w:rsidRDefault="001B7706">
            <w:pPr>
              <w:keepNext/>
              <w:keepLines/>
              <w:spacing w:after="0" w:line="240" w:lineRule="auto"/>
            </w:pPr>
            <w:r>
              <w:rPr>
                <w:sz w:val="18"/>
              </w:rPr>
              <w:t>Obračunati prihodi od HZZO-a na temelju ugovornih obveza</w:t>
            </w:r>
          </w:p>
        </w:tc>
        <w:tc>
          <w:tcPr>
            <w:tcW w:w="700" w:type="dxa"/>
            <w:tcMar>
              <w:top w:w="0" w:type="dxa"/>
              <w:bottom w:w="0" w:type="dxa"/>
            </w:tcMar>
            <w:vAlign w:val="center"/>
          </w:tcPr>
          <w:p w:rsidR="00C72F1D" w:rsidRDefault="001B7706">
            <w:pPr>
              <w:keepNext/>
              <w:keepLines/>
              <w:spacing w:after="0" w:line="240" w:lineRule="auto"/>
            </w:pPr>
            <w:r>
              <w:rPr>
                <w:sz w:val="18"/>
              </w:rPr>
              <w:t>9673</w:t>
            </w:r>
          </w:p>
        </w:tc>
        <w:tc>
          <w:tcPr>
            <w:tcW w:w="1860" w:type="dxa"/>
            <w:tcMar>
              <w:top w:w="0" w:type="dxa"/>
              <w:bottom w:w="0" w:type="dxa"/>
            </w:tcMar>
            <w:vAlign w:val="center"/>
          </w:tcPr>
          <w:p w:rsidR="00C72F1D" w:rsidRDefault="001B7706">
            <w:pPr>
              <w:keepNext/>
              <w:keepLines/>
              <w:spacing w:after="0" w:line="240" w:lineRule="auto"/>
              <w:jc w:val="right"/>
            </w:pPr>
            <w:r>
              <w:rPr>
                <w:sz w:val="18"/>
              </w:rPr>
              <w:t>60.489,16</w:t>
            </w:r>
          </w:p>
        </w:tc>
        <w:tc>
          <w:tcPr>
            <w:tcW w:w="1860" w:type="dxa"/>
            <w:tcMar>
              <w:top w:w="0" w:type="dxa"/>
              <w:bottom w:w="0" w:type="dxa"/>
            </w:tcMar>
            <w:vAlign w:val="center"/>
          </w:tcPr>
          <w:p w:rsidR="00C72F1D" w:rsidRDefault="001B7706">
            <w:pPr>
              <w:keepNext/>
              <w:keepLines/>
              <w:spacing w:after="0" w:line="240" w:lineRule="auto"/>
              <w:jc w:val="right"/>
            </w:pPr>
            <w:r>
              <w:rPr>
                <w:sz w:val="18"/>
              </w:rPr>
              <w:t>102.065,52</w:t>
            </w:r>
          </w:p>
        </w:tc>
        <w:tc>
          <w:tcPr>
            <w:tcW w:w="700" w:type="dxa"/>
            <w:tcMar>
              <w:top w:w="0" w:type="dxa"/>
              <w:bottom w:w="0" w:type="dxa"/>
            </w:tcMar>
            <w:vAlign w:val="center"/>
          </w:tcPr>
          <w:p w:rsidR="00C72F1D" w:rsidRDefault="001B7706">
            <w:pPr>
              <w:keepNext/>
              <w:keepLines/>
              <w:spacing w:after="0" w:line="240" w:lineRule="auto"/>
              <w:jc w:val="right"/>
            </w:pPr>
            <w:r>
              <w:rPr>
                <w:sz w:val="18"/>
              </w:rPr>
              <w:t>168,7</w:t>
            </w:r>
          </w:p>
        </w:tc>
      </w:tr>
    </w:tbl>
    <w:p w:rsidR="00C72F1D" w:rsidRDefault="00C72F1D">
      <w:pPr>
        <w:spacing w:after="0"/>
      </w:pPr>
    </w:p>
    <w:p w:rsidR="00C72F1D" w:rsidRDefault="001B7706" w:rsidP="00CA585B">
      <w:pPr>
        <w:jc w:val="both"/>
      </w:pPr>
      <w:r>
        <w:t>Ukupna potraživanja na dan izvještavanja iznose 102.065,52 eura, što predstavlja povećanje od 68,70% u odnosu na prethodno razdoblje. Potraživanja se najvećim dijelom odnose na potraživanja od HZZO-a po osnovi ugovornih obveza za osnovno zdravstveno osiguranje, zaštitu zdravlja na radu te INO osiguranike. Povećanje potraživanja rezultat je povećanog obujma pruženih zdravstvenih usluga, odnosno većeg broja korisnika. Dodatno, na rast prihoda utjecala je korekcija cijena zdravstvenih usluga koja se primjenjuje od prosinca 2025. godine.</w:t>
      </w:r>
    </w:p>
    <w:p w:rsidR="00C72F1D" w:rsidRDefault="00C72F1D"/>
    <w:p w:rsidR="00C72F1D" w:rsidRDefault="001B7706">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412</w:t>
            </w:r>
          </w:p>
        </w:tc>
        <w:tc>
          <w:tcPr>
            <w:tcW w:w="3180" w:type="dxa"/>
            <w:tcMar>
              <w:top w:w="0" w:type="dxa"/>
              <w:bottom w:w="0" w:type="dxa"/>
            </w:tcMar>
            <w:vAlign w:val="center"/>
          </w:tcPr>
          <w:p w:rsidR="00C72F1D" w:rsidRDefault="001B7706">
            <w:pPr>
              <w:keepNext/>
              <w:keepLines/>
              <w:spacing w:after="0" w:line="240" w:lineRule="auto"/>
            </w:pPr>
            <w:r>
              <w:rPr>
                <w:sz w:val="18"/>
              </w:rPr>
              <w:t>Nematerijalna imovina (šifre 4121 do 4126)</w:t>
            </w:r>
          </w:p>
        </w:tc>
        <w:tc>
          <w:tcPr>
            <w:tcW w:w="700" w:type="dxa"/>
            <w:tcMar>
              <w:top w:w="0" w:type="dxa"/>
              <w:bottom w:w="0" w:type="dxa"/>
            </w:tcMar>
            <w:vAlign w:val="center"/>
          </w:tcPr>
          <w:p w:rsidR="00C72F1D" w:rsidRDefault="001B7706">
            <w:pPr>
              <w:keepNext/>
              <w:keepLines/>
              <w:spacing w:after="0" w:line="240" w:lineRule="auto"/>
            </w:pPr>
            <w:r>
              <w:rPr>
                <w:sz w:val="18"/>
              </w:rPr>
              <w:t>412</w:t>
            </w:r>
          </w:p>
        </w:tc>
        <w:tc>
          <w:tcPr>
            <w:tcW w:w="1860" w:type="dxa"/>
            <w:tcMar>
              <w:top w:w="0" w:type="dxa"/>
              <w:bottom w:w="0" w:type="dxa"/>
            </w:tcMar>
            <w:vAlign w:val="center"/>
          </w:tcPr>
          <w:p w:rsidR="00C72F1D" w:rsidRDefault="001B7706">
            <w:pPr>
              <w:keepNext/>
              <w:keepLines/>
              <w:spacing w:after="0" w:line="240" w:lineRule="auto"/>
              <w:jc w:val="right"/>
            </w:pPr>
            <w:r>
              <w:rPr>
                <w:sz w:val="18"/>
              </w:rPr>
              <w:t>8.307,50</w:t>
            </w:r>
          </w:p>
        </w:tc>
        <w:tc>
          <w:tcPr>
            <w:tcW w:w="1860" w:type="dxa"/>
            <w:tcMar>
              <w:top w:w="0" w:type="dxa"/>
              <w:bottom w:w="0" w:type="dxa"/>
            </w:tcMar>
            <w:vAlign w:val="center"/>
          </w:tcPr>
          <w:p w:rsidR="00C72F1D" w:rsidRDefault="001B7706">
            <w:pPr>
              <w:keepNext/>
              <w:keepLines/>
              <w:spacing w:after="0" w:line="240" w:lineRule="auto"/>
              <w:jc w:val="right"/>
            </w:pPr>
            <w:r>
              <w:rPr>
                <w:sz w:val="18"/>
              </w:rPr>
              <w:t>9.562,38</w:t>
            </w:r>
          </w:p>
        </w:tc>
        <w:tc>
          <w:tcPr>
            <w:tcW w:w="700" w:type="dxa"/>
            <w:tcMar>
              <w:top w:w="0" w:type="dxa"/>
              <w:bottom w:w="0" w:type="dxa"/>
            </w:tcMar>
            <w:vAlign w:val="center"/>
          </w:tcPr>
          <w:p w:rsidR="00C72F1D" w:rsidRDefault="001B7706">
            <w:pPr>
              <w:keepNext/>
              <w:keepLines/>
              <w:spacing w:after="0" w:line="240" w:lineRule="auto"/>
              <w:jc w:val="right"/>
            </w:pPr>
            <w:r>
              <w:rPr>
                <w:sz w:val="18"/>
              </w:rPr>
              <w:t>115,1</w:t>
            </w:r>
          </w:p>
        </w:tc>
      </w:tr>
    </w:tbl>
    <w:p w:rsidR="00C72F1D" w:rsidRDefault="00C72F1D">
      <w:pPr>
        <w:spacing w:after="0"/>
      </w:pPr>
    </w:p>
    <w:p w:rsidR="00C72F1D" w:rsidRDefault="001B7706" w:rsidP="00CA585B">
      <w:pPr>
        <w:jc w:val="both"/>
      </w:pPr>
      <w:r>
        <w:t>Bilježi povećanje za 15,10% ili za 1.254,88 eura. U prethodnoj godini obnovljen pristup bazi medicinske dokumentacije u elektronskom obliku '</w:t>
      </w:r>
      <w:proofErr w:type="spellStart"/>
      <w:r>
        <w:t>UpToDate</w:t>
      </w:r>
      <w:proofErr w:type="spellEnd"/>
      <w:r>
        <w:t xml:space="preserve"> </w:t>
      </w:r>
      <w:proofErr w:type="spellStart"/>
      <w:r>
        <w:t>Anywhere</w:t>
      </w:r>
      <w:proofErr w:type="spellEnd"/>
      <w:r>
        <w:t>", plaćene naknade za održavanje postojećih licenci te kupnji dodatne licence za rad. U poslovnoj godini obnovljen pristup bazi medicinske dokumentacije u elektronskom obliku „</w:t>
      </w:r>
      <w:proofErr w:type="spellStart"/>
      <w:r>
        <w:t>Up</w:t>
      </w:r>
      <w:proofErr w:type="spellEnd"/>
      <w:r>
        <w:t xml:space="preserve"> </w:t>
      </w:r>
      <w:proofErr w:type="spellStart"/>
      <w:r>
        <w:t>ToDate</w:t>
      </w:r>
      <w:proofErr w:type="spellEnd"/>
      <w:r>
        <w:t xml:space="preserve"> </w:t>
      </w:r>
      <w:proofErr w:type="spellStart"/>
      <w:r>
        <w:t>Anywhere</w:t>
      </w:r>
      <w:proofErr w:type="spellEnd"/>
      <w:r>
        <w:t>“ te su nabavljene dodatne licence za rad.</w:t>
      </w:r>
    </w:p>
    <w:p w:rsidR="00C72F1D" w:rsidRDefault="00C72F1D"/>
    <w:p w:rsidR="00C72F1D" w:rsidRDefault="001B7706">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422</w:t>
            </w:r>
          </w:p>
        </w:tc>
        <w:tc>
          <w:tcPr>
            <w:tcW w:w="3180" w:type="dxa"/>
            <w:tcMar>
              <w:top w:w="0" w:type="dxa"/>
              <w:bottom w:w="0" w:type="dxa"/>
            </w:tcMar>
            <w:vAlign w:val="center"/>
          </w:tcPr>
          <w:p w:rsidR="00C72F1D" w:rsidRDefault="001B7706">
            <w:pPr>
              <w:keepNext/>
              <w:keepLines/>
              <w:spacing w:after="0" w:line="240" w:lineRule="auto"/>
            </w:pPr>
            <w:r>
              <w:rPr>
                <w:sz w:val="18"/>
              </w:rPr>
              <w:t>Postrojenja i oprema (šifre 4221 do 4228)</w:t>
            </w:r>
          </w:p>
        </w:tc>
        <w:tc>
          <w:tcPr>
            <w:tcW w:w="700" w:type="dxa"/>
            <w:tcMar>
              <w:top w:w="0" w:type="dxa"/>
              <w:bottom w:w="0" w:type="dxa"/>
            </w:tcMar>
            <w:vAlign w:val="center"/>
          </w:tcPr>
          <w:p w:rsidR="00C72F1D" w:rsidRDefault="001B7706">
            <w:pPr>
              <w:keepNext/>
              <w:keepLines/>
              <w:spacing w:after="0" w:line="240" w:lineRule="auto"/>
            </w:pPr>
            <w:r>
              <w:rPr>
                <w:sz w:val="18"/>
              </w:rPr>
              <w:t>422</w:t>
            </w:r>
          </w:p>
        </w:tc>
        <w:tc>
          <w:tcPr>
            <w:tcW w:w="1860" w:type="dxa"/>
            <w:tcMar>
              <w:top w:w="0" w:type="dxa"/>
              <w:bottom w:w="0" w:type="dxa"/>
            </w:tcMar>
            <w:vAlign w:val="center"/>
          </w:tcPr>
          <w:p w:rsidR="00C72F1D" w:rsidRDefault="001B7706">
            <w:pPr>
              <w:keepNext/>
              <w:keepLines/>
              <w:spacing w:after="0" w:line="240" w:lineRule="auto"/>
              <w:jc w:val="right"/>
            </w:pPr>
            <w:r>
              <w:rPr>
                <w:sz w:val="18"/>
              </w:rPr>
              <w:t>12.325,72</w:t>
            </w:r>
          </w:p>
        </w:tc>
        <w:tc>
          <w:tcPr>
            <w:tcW w:w="1860" w:type="dxa"/>
            <w:tcMar>
              <w:top w:w="0" w:type="dxa"/>
              <w:bottom w:w="0" w:type="dxa"/>
            </w:tcMar>
            <w:vAlign w:val="center"/>
          </w:tcPr>
          <w:p w:rsidR="00C72F1D" w:rsidRDefault="001B7706">
            <w:pPr>
              <w:keepNext/>
              <w:keepLines/>
              <w:spacing w:after="0" w:line="240" w:lineRule="auto"/>
              <w:jc w:val="right"/>
            </w:pPr>
            <w:r>
              <w:rPr>
                <w:sz w:val="18"/>
              </w:rPr>
              <w:t>17.521,25</w:t>
            </w:r>
          </w:p>
        </w:tc>
        <w:tc>
          <w:tcPr>
            <w:tcW w:w="700" w:type="dxa"/>
            <w:tcMar>
              <w:top w:w="0" w:type="dxa"/>
              <w:bottom w:w="0" w:type="dxa"/>
            </w:tcMar>
            <w:vAlign w:val="center"/>
          </w:tcPr>
          <w:p w:rsidR="00C72F1D" w:rsidRDefault="001B7706">
            <w:pPr>
              <w:keepNext/>
              <w:keepLines/>
              <w:spacing w:after="0" w:line="240" w:lineRule="auto"/>
              <w:jc w:val="right"/>
            </w:pPr>
            <w:r>
              <w:rPr>
                <w:sz w:val="18"/>
              </w:rPr>
              <w:t>142,2</w:t>
            </w:r>
          </w:p>
        </w:tc>
      </w:tr>
    </w:tbl>
    <w:p w:rsidR="00C72F1D" w:rsidRDefault="00C72F1D">
      <w:pPr>
        <w:spacing w:after="0"/>
      </w:pPr>
    </w:p>
    <w:p w:rsidR="00C72F1D" w:rsidRDefault="001B7706" w:rsidP="00CA585B">
      <w:pPr>
        <w:jc w:val="both"/>
      </w:pPr>
      <w:r>
        <w:t>U odnosu na prethodnu, 2025. godinu bilježi povećanje od 42,20 %, odnosno za 5.195,53 eura.</w:t>
      </w:r>
    </w:p>
    <w:p w:rsidR="00C72F1D" w:rsidRDefault="001B7706" w:rsidP="00CA585B">
      <w:pPr>
        <w:jc w:val="both"/>
      </w:pPr>
      <w:r>
        <w:t xml:space="preserve">U poslovnoj 2026. godini nabavljena je sljedeća oprema: 6 pisača, 1 računalo, 1 prijenosno računalo te 2 baterije za prijenosno računalo, 6 </w:t>
      </w:r>
      <w:proofErr w:type="spellStart"/>
      <w:r>
        <w:t>antidekubitalnih</w:t>
      </w:r>
      <w:proofErr w:type="spellEnd"/>
      <w:r>
        <w:t xml:space="preserve"> madraca za bolesničke sobe i 1 ormarić sa sudoperom,  6 </w:t>
      </w:r>
      <w:proofErr w:type="spellStart"/>
      <w:r>
        <w:t>voki-tokija</w:t>
      </w:r>
      <w:proofErr w:type="spellEnd"/>
      <w:r>
        <w:t xml:space="preserve"> za komunikaciju unutar tehničke službe, 8 komada toaletnih kolica za potrebe bolničkih odjela te perilica rublja. </w:t>
      </w:r>
      <w:r>
        <w:br/>
      </w:r>
      <w:r>
        <w:br/>
        <w:t>U tekućoj poslovnoj godini, kao i u istom razdoblju prethodne godine, nabava navedene opreme ograničava se na prioritetne potrebe.</w:t>
      </w:r>
    </w:p>
    <w:p w:rsidR="00C72F1D" w:rsidRDefault="00C72F1D"/>
    <w:p w:rsidR="00C72F1D" w:rsidRDefault="001B7706">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451</w:t>
            </w:r>
          </w:p>
        </w:tc>
        <w:tc>
          <w:tcPr>
            <w:tcW w:w="3180" w:type="dxa"/>
            <w:tcMar>
              <w:top w:w="0" w:type="dxa"/>
              <w:bottom w:w="0" w:type="dxa"/>
            </w:tcMar>
            <w:vAlign w:val="center"/>
          </w:tcPr>
          <w:p w:rsidR="00C72F1D" w:rsidRDefault="001B7706">
            <w:pPr>
              <w:keepNext/>
              <w:keepLines/>
              <w:spacing w:after="0" w:line="240" w:lineRule="auto"/>
            </w:pPr>
            <w:r>
              <w:rPr>
                <w:sz w:val="18"/>
              </w:rPr>
              <w:t>Dodatna ulaganja na građevinskim objektima</w:t>
            </w:r>
          </w:p>
        </w:tc>
        <w:tc>
          <w:tcPr>
            <w:tcW w:w="700" w:type="dxa"/>
            <w:tcMar>
              <w:top w:w="0" w:type="dxa"/>
              <w:bottom w:w="0" w:type="dxa"/>
            </w:tcMar>
            <w:vAlign w:val="center"/>
          </w:tcPr>
          <w:p w:rsidR="00C72F1D" w:rsidRDefault="001B7706">
            <w:pPr>
              <w:keepNext/>
              <w:keepLines/>
              <w:spacing w:after="0" w:line="240" w:lineRule="auto"/>
            </w:pPr>
            <w:r>
              <w:rPr>
                <w:sz w:val="18"/>
              </w:rPr>
              <w:t>451</w:t>
            </w:r>
          </w:p>
        </w:tc>
        <w:tc>
          <w:tcPr>
            <w:tcW w:w="1860" w:type="dxa"/>
            <w:tcMar>
              <w:top w:w="0" w:type="dxa"/>
              <w:bottom w:w="0" w:type="dxa"/>
            </w:tcMar>
            <w:vAlign w:val="center"/>
          </w:tcPr>
          <w:p w:rsidR="00C72F1D" w:rsidRDefault="001B7706">
            <w:pPr>
              <w:keepNext/>
              <w:keepLines/>
              <w:spacing w:after="0" w:line="240" w:lineRule="auto"/>
              <w:jc w:val="right"/>
            </w:pPr>
            <w:r>
              <w:rPr>
                <w:sz w:val="18"/>
              </w:rPr>
              <w:t>847.678,91</w:t>
            </w:r>
          </w:p>
        </w:tc>
        <w:tc>
          <w:tcPr>
            <w:tcW w:w="1860" w:type="dxa"/>
            <w:tcMar>
              <w:top w:w="0" w:type="dxa"/>
              <w:bottom w:w="0" w:type="dxa"/>
            </w:tcMar>
            <w:vAlign w:val="center"/>
          </w:tcPr>
          <w:p w:rsidR="00C72F1D" w:rsidRDefault="001B7706">
            <w:pPr>
              <w:keepNext/>
              <w:keepLines/>
              <w:spacing w:after="0" w:line="240" w:lineRule="auto"/>
              <w:jc w:val="right"/>
            </w:pPr>
            <w:r>
              <w:rPr>
                <w:sz w:val="18"/>
              </w:rPr>
              <w:t>6.140.832,28</w:t>
            </w:r>
          </w:p>
        </w:tc>
        <w:tc>
          <w:tcPr>
            <w:tcW w:w="700" w:type="dxa"/>
            <w:tcMar>
              <w:top w:w="0" w:type="dxa"/>
              <w:bottom w:w="0" w:type="dxa"/>
            </w:tcMar>
            <w:vAlign w:val="center"/>
          </w:tcPr>
          <w:p w:rsidR="00C72F1D" w:rsidRDefault="001B7706">
            <w:pPr>
              <w:keepNext/>
              <w:keepLines/>
              <w:spacing w:after="0" w:line="240" w:lineRule="auto"/>
              <w:jc w:val="right"/>
            </w:pPr>
            <w:r>
              <w:rPr>
                <w:sz w:val="18"/>
              </w:rPr>
              <w:t>724,4</w:t>
            </w:r>
          </w:p>
        </w:tc>
      </w:tr>
    </w:tbl>
    <w:p w:rsidR="00C72F1D" w:rsidRDefault="00C72F1D">
      <w:pPr>
        <w:spacing w:after="0"/>
      </w:pPr>
    </w:p>
    <w:p w:rsidR="00C72F1D" w:rsidRDefault="001B7706" w:rsidP="00CA585B">
      <w:pPr>
        <w:jc w:val="both"/>
      </w:pPr>
      <w:r>
        <w:t>U odnosu na prethodnu 2025. godinu, evidentirano je povećanje za 624,40%, odnosno za 5.293.153,37 eura. Razlika se odnosi na troškove po projektu „Unapređenje kvalitete smještaja i sadržaja hotela Minerva“. Provedba projekta započela je u mjesecu siječnju 2025. godine ali su privremene situacije bile znatno niže, trenutno je projekt u završnoj fazi te su iz navedenog razloga i rashodi veći.</w:t>
      </w:r>
    </w:p>
    <w:p w:rsidR="00C72F1D" w:rsidRDefault="00C72F1D"/>
    <w:p w:rsidR="00C72F1D" w:rsidRDefault="001B7706">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8</w:t>
            </w:r>
          </w:p>
        </w:tc>
        <w:tc>
          <w:tcPr>
            <w:tcW w:w="3180" w:type="dxa"/>
            <w:tcMar>
              <w:top w:w="0" w:type="dxa"/>
              <w:bottom w:w="0" w:type="dxa"/>
            </w:tcMar>
            <w:vAlign w:val="center"/>
          </w:tcPr>
          <w:p w:rsidR="00C72F1D" w:rsidRDefault="001B770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C72F1D" w:rsidRDefault="001B7706">
            <w:pPr>
              <w:keepNext/>
              <w:keepLines/>
              <w:spacing w:after="0" w:line="240" w:lineRule="auto"/>
            </w:pPr>
            <w:r>
              <w:rPr>
                <w:sz w:val="18"/>
              </w:rPr>
              <w:t>8</w:t>
            </w:r>
          </w:p>
        </w:tc>
        <w:tc>
          <w:tcPr>
            <w:tcW w:w="1860" w:type="dxa"/>
            <w:tcMar>
              <w:top w:w="0" w:type="dxa"/>
              <w:bottom w:w="0" w:type="dxa"/>
            </w:tcMar>
            <w:vAlign w:val="center"/>
          </w:tcPr>
          <w:p w:rsidR="00C72F1D" w:rsidRDefault="001B7706">
            <w:pPr>
              <w:keepNext/>
              <w:keepLines/>
              <w:spacing w:after="0" w:line="240" w:lineRule="auto"/>
              <w:jc w:val="right"/>
            </w:pPr>
            <w:r>
              <w:rPr>
                <w:sz w:val="18"/>
              </w:rPr>
              <w:t>0,00</w:t>
            </w:r>
          </w:p>
        </w:tc>
        <w:tc>
          <w:tcPr>
            <w:tcW w:w="1860" w:type="dxa"/>
            <w:tcMar>
              <w:top w:w="0" w:type="dxa"/>
              <w:bottom w:w="0" w:type="dxa"/>
            </w:tcMar>
            <w:vAlign w:val="center"/>
          </w:tcPr>
          <w:p w:rsidR="00C72F1D" w:rsidRDefault="001B7706">
            <w:pPr>
              <w:keepNext/>
              <w:keepLines/>
              <w:spacing w:after="0" w:line="240" w:lineRule="auto"/>
              <w:jc w:val="right"/>
            </w:pPr>
            <w:r>
              <w:rPr>
                <w:sz w:val="18"/>
              </w:rPr>
              <w:t>3.269.710,51</w:t>
            </w:r>
          </w:p>
        </w:tc>
        <w:tc>
          <w:tcPr>
            <w:tcW w:w="700" w:type="dxa"/>
            <w:tcMar>
              <w:top w:w="0" w:type="dxa"/>
              <w:bottom w:w="0" w:type="dxa"/>
            </w:tcMar>
            <w:vAlign w:val="center"/>
          </w:tcPr>
          <w:p w:rsidR="00C72F1D" w:rsidRDefault="001B7706">
            <w:pPr>
              <w:keepNext/>
              <w:keepLines/>
              <w:spacing w:after="0" w:line="240" w:lineRule="auto"/>
              <w:jc w:val="right"/>
            </w:pPr>
            <w:r>
              <w:rPr>
                <w:sz w:val="18"/>
              </w:rPr>
              <w:t>-</w:t>
            </w:r>
          </w:p>
        </w:tc>
      </w:tr>
    </w:tbl>
    <w:p w:rsidR="00C72F1D" w:rsidRDefault="00C72F1D">
      <w:pPr>
        <w:spacing w:after="0"/>
      </w:pPr>
    </w:p>
    <w:p w:rsidR="00C72F1D" w:rsidRDefault="001B7706" w:rsidP="00CA585B">
      <w:pPr>
        <w:jc w:val="both"/>
      </w:pPr>
      <w:r>
        <w:t>Primici od financijske imovine i zaduživanja odnose se na povučena sredstva dugoročnog kredita namijenjenog financiranju projekta „Unapređenje kvalitete smještaja i sadržaja hotela Minerva“. Sredstva se povlače temeljem podnesenih zahtjeva za korištenje kredita, u skladu s ispostavljenim fakturama za realizirane projektne aktivnosti.</w:t>
      </w:r>
    </w:p>
    <w:p w:rsidR="00C72F1D" w:rsidRDefault="001B7706" w:rsidP="00CA585B">
      <w:pPr>
        <w:jc w:val="both"/>
      </w:pPr>
      <w:r>
        <w:t>Povučena sredstva koriste se za podmirenje obveza prema izvođačima radova te za plaćanje obveze poreza na dodanu vrijednost prema Državnom proračunu, nastalih u sklopu navedenog projekta. Prethodne godine nismo imali evidentiranih primitaka od zaduživanja.</w:t>
      </w:r>
    </w:p>
    <w:p w:rsidR="00C72F1D" w:rsidRDefault="00C72F1D"/>
    <w:p w:rsidR="00C72F1D" w:rsidRDefault="001B7706">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54</w:t>
            </w:r>
          </w:p>
        </w:tc>
        <w:tc>
          <w:tcPr>
            <w:tcW w:w="3180" w:type="dxa"/>
            <w:tcMar>
              <w:top w:w="0" w:type="dxa"/>
              <w:bottom w:w="0" w:type="dxa"/>
            </w:tcMar>
            <w:vAlign w:val="center"/>
          </w:tcPr>
          <w:p w:rsidR="00C72F1D" w:rsidRDefault="001B7706">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C72F1D" w:rsidRDefault="001B7706">
            <w:pPr>
              <w:keepNext/>
              <w:keepLines/>
              <w:spacing w:after="0" w:line="240" w:lineRule="auto"/>
            </w:pPr>
            <w:r>
              <w:rPr>
                <w:sz w:val="18"/>
              </w:rPr>
              <w:t>54</w:t>
            </w:r>
          </w:p>
        </w:tc>
        <w:tc>
          <w:tcPr>
            <w:tcW w:w="1860" w:type="dxa"/>
            <w:tcMar>
              <w:top w:w="0" w:type="dxa"/>
              <w:bottom w:w="0" w:type="dxa"/>
            </w:tcMar>
            <w:vAlign w:val="center"/>
          </w:tcPr>
          <w:p w:rsidR="00C72F1D" w:rsidRDefault="001B7706">
            <w:pPr>
              <w:keepNext/>
              <w:keepLines/>
              <w:spacing w:after="0" w:line="240" w:lineRule="auto"/>
              <w:jc w:val="right"/>
            </w:pPr>
            <w:r>
              <w:rPr>
                <w:sz w:val="18"/>
              </w:rPr>
              <w:t>195.461,97</w:t>
            </w:r>
          </w:p>
        </w:tc>
        <w:tc>
          <w:tcPr>
            <w:tcW w:w="1860" w:type="dxa"/>
            <w:tcMar>
              <w:top w:w="0" w:type="dxa"/>
              <w:bottom w:w="0" w:type="dxa"/>
            </w:tcMar>
            <w:vAlign w:val="center"/>
          </w:tcPr>
          <w:p w:rsidR="00C72F1D" w:rsidRDefault="001B7706">
            <w:pPr>
              <w:keepNext/>
              <w:keepLines/>
              <w:spacing w:after="0" w:line="240" w:lineRule="auto"/>
              <w:jc w:val="right"/>
            </w:pPr>
            <w:r>
              <w:rPr>
                <w:sz w:val="18"/>
              </w:rPr>
              <w:t>296.272,99</w:t>
            </w:r>
          </w:p>
        </w:tc>
        <w:tc>
          <w:tcPr>
            <w:tcW w:w="700" w:type="dxa"/>
            <w:tcMar>
              <w:top w:w="0" w:type="dxa"/>
              <w:bottom w:w="0" w:type="dxa"/>
            </w:tcMar>
            <w:vAlign w:val="center"/>
          </w:tcPr>
          <w:p w:rsidR="00C72F1D" w:rsidRDefault="001B7706">
            <w:pPr>
              <w:keepNext/>
              <w:keepLines/>
              <w:spacing w:after="0" w:line="240" w:lineRule="auto"/>
              <w:jc w:val="right"/>
            </w:pPr>
            <w:r>
              <w:rPr>
                <w:sz w:val="18"/>
              </w:rPr>
              <w:t>151,6</w:t>
            </w:r>
          </w:p>
        </w:tc>
      </w:tr>
    </w:tbl>
    <w:p w:rsidR="00C72F1D" w:rsidRDefault="00C72F1D">
      <w:pPr>
        <w:spacing w:after="0"/>
      </w:pPr>
    </w:p>
    <w:p w:rsidR="00C72F1D" w:rsidRDefault="001B7706">
      <w:r>
        <w:t xml:space="preserve">Iznose 296.272,99  eura, veći su u odnosu na isto razdoblje prethodne godine za 51,60% ili za 100.811,02 eura.  Na otplatu glavnice prema HBOR-u evidentiran je iznos od 118.891,12 eura kao i prethodne godine, dok je na otplatu glavnice prema poslovnoj Zagrebačkoj banci evidentiran iznos od 177.381,87 eura. Povećanje se očituje u izdacima za otplatu kratkoročnog kredita </w:t>
      </w:r>
      <w:proofErr w:type="spellStart"/>
      <w:r>
        <w:t>cash</w:t>
      </w:r>
      <w:proofErr w:type="spellEnd"/>
      <w:r>
        <w:t xml:space="preserve"> </w:t>
      </w:r>
      <w:proofErr w:type="spellStart"/>
      <w:r>
        <w:t>poola</w:t>
      </w:r>
      <w:proofErr w:type="spellEnd"/>
      <w:r>
        <w:t xml:space="preserve"> za koji u istom razdoblju prethodne godine nije bilo otplate.</w:t>
      </w:r>
    </w:p>
    <w:p w:rsidR="00C72F1D" w:rsidRDefault="00C72F1D"/>
    <w:p w:rsidR="00C72F1D" w:rsidRDefault="001B7706">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72F1D">
        <w:trPr>
          <w:cantSplit/>
        </w:trPr>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2F1D" w:rsidRDefault="001B7706">
            <w:pPr>
              <w:keepNext/>
              <w:keepLines/>
              <w:spacing w:after="0" w:line="240" w:lineRule="auto"/>
              <w:jc w:val="center"/>
            </w:pPr>
            <w:r>
              <w:rPr>
                <w:b/>
                <w:sz w:val="18"/>
              </w:rPr>
              <w:t>Indeks (%)</w:t>
            </w:r>
          </w:p>
        </w:tc>
      </w:tr>
      <w:tr w:rsidR="00C72F1D">
        <w:trPr>
          <w:cantSplit/>
          <w:trHeight w:val="560"/>
        </w:trPr>
        <w:tc>
          <w:tcPr>
            <w:tcW w:w="700" w:type="dxa"/>
            <w:tcMar>
              <w:top w:w="0" w:type="dxa"/>
              <w:bottom w:w="0" w:type="dxa"/>
            </w:tcMar>
            <w:vAlign w:val="center"/>
          </w:tcPr>
          <w:p w:rsidR="00C72F1D" w:rsidRDefault="001B7706">
            <w:pPr>
              <w:keepNext/>
              <w:keepLines/>
              <w:spacing w:after="0" w:line="240" w:lineRule="auto"/>
            </w:pPr>
            <w:r>
              <w:rPr>
                <w:sz w:val="18"/>
              </w:rPr>
              <w:t>9222-9221</w:t>
            </w:r>
          </w:p>
        </w:tc>
        <w:tc>
          <w:tcPr>
            <w:tcW w:w="3180" w:type="dxa"/>
            <w:tcMar>
              <w:top w:w="0" w:type="dxa"/>
              <w:bottom w:w="0" w:type="dxa"/>
            </w:tcMar>
            <w:vAlign w:val="center"/>
          </w:tcPr>
          <w:p w:rsidR="00C72F1D" w:rsidRDefault="001B7706">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C72F1D" w:rsidRDefault="001B7706">
            <w:pPr>
              <w:keepNext/>
              <w:keepLines/>
              <w:spacing w:after="0" w:line="240" w:lineRule="auto"/>
            </w:pPr>
            <w:r>
              <w:rPr>
                <w:sz w:val="18"/>
              </w:rPr>
              <w:t>9222-9221</w:t>
            </w:r>
          </w:p>
        </w:tc>
        <w:tc>
          <w:tcPr>
            <w:tcW w:w="1860" w:type="dxa"/>
            <w:tcMar>
              <w:top w:w="0" w:type="dxa"/>
              <w:bottom w:w="0" w:type="dxa"/>
            </w:tcMar>
            <w:vAlign w:val="center"/>
          </w:tcPr>
          <w:p w:rsidR="00C72F1D" w:rsidRDefault="001B7706">
            <w:pPr>
              <w:keepNext/>
              <w:keepLines/>
              <w:spacing w:after="0" w:line="240" w:lineRule="auto"/>
              <w:jc w:val="right"/>
            </w:pPr>
            <w:r>
              <w:rPr>
                <w:sz w:val="18"/>
              </w:rPr>
              <w:t>13.152.768,37</w:t>
            </w:r>
          </w:p>
        </w:tc>
        <w:tc>
          <w:tcPr>
            <w:tcW w:w="1860" w:type="dxa"/>
            <w:tcMar>
              <w:top w:w="0" w:type="dxa"/>
              <w:bottom w:w="0" w:type="dxa"/>
            </w:tcMar>
            <w:vAlign w:val="center"/>
          </w:tcPr>
          <w:p w:rsidR="00C72F1D" w:rsidRDefault="001B7706">
            <w:pPr>
              <w:keepNext/>
              <w:keepLines/>
              <w:spacing w:after="0" w:line="240" w:lineRule="auto"/>
              <w:jc w:val="right"/>
            </w:pPr>
            <w:r>
              <w:rPr>
                <w:sz w:val="18"/>
              </w:rPr>
              <w:t>19.360.222,73</w:t>
            </w:r>
          </w:p>
        </w:tc>
        <w:tc>
          <w:tcPr>
            <w:tcW w:w="700" w:type="dxa"/>
            <w:tcMar>
              <w:top w:w="0" w:type="dxa"/>
              <w:bottom w:w="0" w:type="dxa"/>
            </w:tcMar>
            <w:vAlign w:val="center"/>
          </w:tcPr>
          <w:p w:rsidR="00C72F1D" w:rsidRDefault="001B7706">
            <w:pPr>
              <w:keepNext/>
              <w:keepLines/>
              <w:spacing w:after="0" w:line="240" w:lineRule="auto"/>
              <w:jc w:val="right"/>
            </w:pPr>
            <w:r>
              <w:rPr>
                <w:sz w:val="18"/>
              </w:rPr>
              <w:t>147,2</w:t>
            </w:r>
          </w:p>
        </w:tc>
      </w:tr>
    </w:tbl>
    <w:p w:rsidR="00C72F1D" w:rsidRDefault="00C72F1D">
      <w:pPr>
        <w:spacing w:after="0"/>
      </w:pPr>
    </w:p>
    <w:p w:rsidR="00C72F1D" w:rsidRDefault="001B7706" w:rsidP="00CA585B">
      <w:pPr>
        <w:jc w:val="both"/>
      </w:pPr>
      <w:r>
        <w:t>Početno stanje Manjak prihoda i primitaka - preneseni iznosilo je 19.391.604,52 eura, dok iskazano stanje izvještajnog razdoblja u obrascu PR-RAS iznosi 19.360.222,73 eura, što predstavlja razliku od 31.381,79 eura.</w:t>
      </w:r>
    </w:p>
    <w:p w:rsidR="00C72F1D" w:rsidRDefault="001B7706" w:rsidP="00CA585B">
      <w:pPr>
        <w:jc w:val="both"/>
      </w:pPr>
      <w:r>
        <w:t>Navedena razlika odnosi se na poslovnu 2025. godinu, u kojoj su, temeljem zaprimljenog Privremenog obračuna, evidentirani veći rashodi u iznosu od 31.381,79 eura. U 2026. godini zaprimljeno je Konačno rješenje iz kojeg proizlazi da su navedeni troškovi bili iskazani u većem iznosu od stvarno nastalih obveza, odnosno da je došlo do pretplate i više iskazanih troškova.</w:t>
      </w:r>
    </w:p>
    <w:p w:rsidR="00C72F1D" w:rsidRDefault="001B7706" w:rsidP="00CA585B">
      <w:pPr>
        <w:jc w:val="both"/>
      </w:pPr>
      <w:r>
        <w:t>Slijedom navedenog,  od Hrvatskih voda zatražen je povrat preplaćenog iznosa, koji je u izvještajnom razdoblju i realiziran. Po zaprimljenom povratu izvršena je korekcija rezultata poslovanja iz prethodnih godina.</w:t>
      </w:r>
    </w:p>
    <w:p w:rsidR="00C72F1D" w:rsidRDefault="001B7706" w:rsidP="00CA585B">
      <w:pPr>
        <w:jc w:val="both"/>
      </w:pPr>
      <w:r>
        <w:t>Korekcija je provedena kroz stavku Višak prihoda poslovanja – ispravci iz prethodnih godina, čime je za isti iznos umanjen Manjak prihoda i primitaka - preneseni.</w:t>
      </w:r>
    </w:p>
    <w:p w:rsidR="00C72F1D" w:rsidRDefault="00C72F1D">
      <w:bookmarkStart w:id="0" w:name="_GoBack"/>
      <w:bookmarkEnd w:id="0"/>
    </w:p>
    <w:p w:rsidR="00C72F1D" w:rsidRDefault="001B7706">
      <w:pPr>
        <w:keepNext/>
        <w:spacing w:line="240" w:lineRule="auto"/>
        <w:jc w:val="center"/>
      </w:pPr>
      <w:r>
        <w:rPr>
          <w:sz w:val="28"/>
        </w:rPr>
        <w:t>Bilješka 39.</w:t>
      </w:r>
    </w:p>
    <w:p w:rsidR="00C72F1D" w:rsidRDefault="001B7706">
      <w:pPr>
        <w:spacing w:line="240" w:lineRule="auto"/>
        <w:jc w:val="both"/>
      </w:pPr>
      <w:r>
        <w:rPr>
          <w:b/>
        </w:rPr>
        <w:t>EU izvještaj</w:t>
      </w:r>
    </w:p>
    <w:p w:rsidR="00C72F1D" w:rsidRDefault="001B7706" w:rsidP="00CA585B">
      <w:pPr>
        <w:jc w:val="both"/>
      </w:pPr>
      <w:r>
        <w:t xml:space="preserve">U izvještajnom razdoblju prihodi na skupini 638 povećani su za 5.527.057,99 eura (+6.437,10%) u odnosu na prethodnu godinu, prvenstveno zbog intenziviranja provedbe kapitalnog projekta financiranog iz EU sredstava. Tekuće pomoći (6381) smanjene su za 38.830,01 eura (-89,60%) uslijed smanjenog broja pripravnika medicinske struke nakon isteka ugovornih razdoblja. Veći dio sredstava iskorišten je u prethodnim razdobljima, dok se preostala sredstva odnose na jednu djelatnicu, koja je nakon korištenja </w:t>
      </w:r>
      <w:proofErr w:type="spellStart"/>
      <w:r>
        <w:t>rodiljnog</w:t>
      </w:r>
      <w:proofErr w:type="spellEnd"/>
      <w:r>
        <w:t xml:space="preserve"> dopusta, nastavila koristiti preostala ugovorena sredstva. Kapitalne pomoći (6382) povećane su za 5.565.888,00 eura (+13.087,28%) zbog provedbe projekta „Unapređenje kvalitete smještaja i sadržaja hotela Minerva“. S obzirom na to da se projekt u 2026. godini nalazi u završnoj fazi, evidentiran je značajno veći priljev sredstava u skladu s dinamikom realizacije i ispostavljenih situacije.</w:t>
      </w:r>
    </w:p>
    <w:p w:rsidR="00CA585B" w:rsidRDefault="00CA585B"/>
    <w:p w:rsidR="00CA585B" w:rsidRPr="00CA585B" w:rsidRDefault="00CA585B" w:rsidP="00CA585B">
      <w:pPr>
        <w:spacing w:after="0" w:line="240" w:lineRule="auto"/>
        <w:jc w:val="both"/>
        <w:rPr>
          <w:rFonts w:eastAsia="Calibri"/>
          <w:szCs w:val="24"/>
          <w:lang w:eastAsia="en-US"/>
        </w:rPr>
      </w:pPr>
      <w:r w:rsidRPr="00CA585B">
        <w:rPr>
          <w:rFonts w:eastAsia="Calibri"/>
          <w:szCs w:val="24"/>
          <w:lang w:eastAsia="en-US"/>
        </w:rPr>
        <w:t>Varaždinske Toplice, 15.04.2026.</w:t>
      </w:r>
    </w:p>
    <w:p w:rsidR="00CA585B" w:rsidRPr="00CA585B" w:rsidRDefault="00CA585B" w:rsidP="00CA585B">
      <w:pPr>
        <w:spacing w:after="0" w:line="240" w:lineRule="auto"/>
        <w:jc w:val="both"/>
        <w:rPr>
          <w:rFonts w:eastAsia="Calibri"/>
          <w:i/>
          <w:szCs w:val="24"/>
          <w:u w:val="single"/>
          <w:lang w:eastAsia="en-US"/>
        </w:rPr>
      </w:pPr>
      <w:r w:rsidRPr="00CA585B">
        <w:rPr>
          <w:rFonts w:eastAsia="Calibri"/>
          <w:i/>
          <w:szCs w:val="24"/>
          <w:u w:val="single"/>
          <w:lang w:eastAsia="en-US"/>
        </w:rPr>
        <w:t>Osoba za kontakt:  Voditeljica odjela za financijske poslove, Spomenka Sakač, 042/63</w:t>
      </w:r>
      <w:r w:rsidR="001F5B07">
        <w:rPr>
          <w:rFonts w:eastAsia="Calibri"/>
          <w:i/>
          <w:szCs w:val="24"/>
          <w:u w:val="single"/>
          <w:lang w:eastAsia="en-US"/>
        </w:rPr>
        <w:t>0</w:t>
      </w:r>
      <w:r w:rsidRPr="00CA585B">
        <w:rPr>
          <w:rFonts w:eastAsia="Calibri"/>
          <w:i/>
          <w:szCs w:val="24"/>
          <w:u w:val="single"/>
          <w:lang w:eastAsia="en-US"/>
        </w:rPr>
        <w:t>-384.</w:t>
      </w:r>
    </w:p>
    <w:p w:rsidR="00CA585B" w:rsidRPr="00CA585B" w:rsidRDefault="00CA585B" w:rsidP="00CA585B">
      <w:pPr>
        <w:spacing w:after="0" w:line="276" w:lineRule="auto"/>
        <w:jc w:val="both"/>
        <w:rPr>
          <w:rFonts w:eastAsia="Calibri"/>
          <w:szCs w:val="24"/>
          <w:lang w:eastAsia="en-US"/>
        </w:rPr>
      </w:pPr>
      <w:r w:rsidRPr="00CA585B">
        <w:rPr>
          <w:rFonts w:eastAsia="Calibri"/>
          <w:szCs w:val="24"/>
          <w:lang w:eastAsia="en-US"/>
        </w:rPr>
        <w:t xml:space="preserve">                                                                                                                                  </w:t>
      </w:r>
    </w:p>
    <w:p w:rsidR="00CA585B" w:rsidRPr="00CA585B" w:rsidRDefault="00CA585B" w:rsidP="00CA585B">
      <w:pPr>
        <w:spacing w:after="0" w:line="276" w:lineRule="auto"/>
        <w:jc w:val="right"/>
        <w:rPr>
          <w:rFonts w:eastAsia="Calibri"/>
          <w:szCs w:val="24"/>
          <w:lang w:eastAsia="en-US"/>
        </w:rPr>
      </w:pPr>
      <w:r w:rsidRPr="00CA585B">
        <w:rPr>
          <w:rFonts w:eastAsia="Calibri"/>
          <w:szCs w:val="24"/>
          <w:lang w:eastAsia="en-US"/>
        </w:rPr>
        <w:t xml:space="preserve">                                                                                                                                                 </w:t>
      </w:r>
      <w:r>
        <w:rPr>
          <w:rFonts w:eastAsia="Calibri"/>
          <w:szCs w:val="24"/>
          <w:lang w:eastAsia="en-US"/>
        </w:rPr>
        <w:t xml:space="preserve">                          </w:t>
      </w:r>
      <w:r w:rsidRPr="00CA585B">
        <w:rPr>
          <w:rFonts w:eastAsia="Calibri"/>
          <w:szCs w:val="24"/>
          <w:lang w:eastAsia="en-US"/>
        </w:rPr>
        <w:t>Ravnatelj:</w:t>
      </w:r>
    </w:p>
    <w:p w:rsidR="00CA585B" w:rsidRPr="00CA585B" w:rsidRDefault="00CA585B" w:rsidP="00CA585B">
      <w:pPr>
        <w:spacing w:after="0" w:line="276" w:lineRule="auto"/>
        <w:jc w:val="both"/>
        <w:rPr>
          <w:rFonts w:eastAsia="Calibri"/>
          <w:szCs w:val="24"/>
          <w:lang w:eastAsia="en-US"/>
        </w:rPr>
      </w:pPr>
      <w:r w:rsidRPr="00CA585B">
        <w:rPr>
          <w:rFonts w:eastAsia="Calibri"/>
          <w:szCs w:val="24"/>
          <w:lang w:eastAsia="en-US"/>
        </w:rPr>
        <w:t xml:space="preserve">                                                                                                  </w:t>
      </w:r>
      <w:r>
        <w:rPr>
          <w:rFonts w:eastAsia="Calibri"/>
          <w:szCs w:val="24"/>
          <w:lang w:eastAsia="en-US"/>
        </w:rPr>
        <w:t xml:space="preserve">     </w:t>
      </w:r>
      <w:r w:rsidRPr="00CA585B">
        <w:rPr>
          <w:rFonts w:eastAsia="Calibri"/>
          <w:szCs w:val="24"/>
          <w:lang w:eastAsia="en-US"/>
        </w:rPr>
        <w:t xml:space="preserve">Denis Kovačić, dr. med. </w:t>
      </w:r>
      <w:proofErr w:type="spellStart"/>
      <w:r w:rsidRPr="00CA585B">
        <w:rPr>
          <w:rFonts w:eastAsia="Calibri"/>
          <w:szCs w:val="24"/>
          <w:lang w:eastAsia="en-US"/>
        </w:rPr>
        <w:t>spec</w:t>
      </w:r>
      <w:proofErr w:type="spellEnd"/>
      <w:r w:rsidRPr="00CA585B">
        <w:rPr>
          <w:rFonts w:eastAsia="Calibri"/>
          <w:szCs w:val="24"/>
          <w:lang w:eastAsia="en-US"/>
        </w:rPr>
        <w:t>.</w:t>
      </w:r>
    </w:p>
    <w:p w:rsidR="00C72F1D" w:rsidRDefault="00C72F1D"/>
    <w:sectPr w:rsidR="00C72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1D"/>
    <w:rsid w:val="001B7706"/>
    <w:rsid w:val="001F5B07"/>
    <w:rsid w:val="00921660"/>
    <w:rsid w:val="00C72F1D"/>
    <w:rsid w:val="00CA58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52577-0CF6-4963-A0D9-5A93D6E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F5B0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5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22C2-40B8-40CC-9330-6939020C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5058</Words>
  <Characters>28831</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Spomenka Sakač</dc:creator>
  <cp:lastModifiedBy>Spomenka Sakač</cp:lastModifiedBy>
  <cp:revision>4</cp:revision>
  <cp:lastPrinted>2026-04-16T06:57:00Z</cp:lastPrinted>
  <dcterms:created xsi:type="dcterms:W3CDTF">2026-04-15T14:24:00Z</dcterms:created>
  <dcterms:modified xsi:type="dcterms:W3CDTF">2026-04-16T07:13:00Z</dcterms:modified>
</cp:coreProperties>
</file>