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C37F0">
        <w:trPr>
          <w:tblCellSpacing w:w="60" w:type="dxa"/>
        </w:trPr>
        <w:tc>
          <w:tcPr>
            <w:tcW w:w="1200" w:type="pct"/>
            <w:shd w:val="clear" w:color="auto" w:fill="E7F0F9"/>
          </w:tcPr>
          <w:p w:rsidR="007C37F0" w:rsidRDefault="00BF0EB0">
            <w:pPr>
              <w:spacing w:after="0" w:line="240" w:lineRule="auto"/>
            </w:pPr>
            <w:r>
              <w:rPr>
                <w:b/>
              </w:rPr>
              <w:t>RKP broj</w:t>
            </w:r>
          </w:p>
        </w:tc>
        <w:tc>
          <w:tcPr>
            <w:tcW w:w="0" w:type="auto"/>
            <w:shd w:val="clear" w:color="auto" w:fill="E7F0F9"/>
          </w:tcPr>
          <w:p w:rsidR="007C37F0" w:rsidRDefault="00BF0EB0">
            <w:pPr>
              <w:spacing w:after="0" w:line="240" w:lineRule="auto"/>
            </w:pPr>
            <w:r>
              <w:t>40746</w:t>
            </w:r>
          </w:p>
        </w:tc>
      </w:tr>
      <w:tr w:rsidR="007C37F0">
        <w:trPr>
          <w:tblCellSpacing w:w="60" w:type="dxa"/>
        </w:trPr>
        <w:tc>
          <w:tcPr>
            <w:tcW w:w="1200" w:type="pct"/>
            <w:shd w:val="clear" w:color="auto" w:fill="E7F0F9"/>
          </w:tcPr>
          <w:p w:rsidR="007C37F0" w:rsidRDefault="00BF0EB0">
            <w:pPr>
              <w:spacing w:after="0" w:line="240" w:lineRule="auto"/>
            </w:pPr>
            <w:r>
              <w:rPr>
                <w:b/>
              </w:rPr>
              <w:t>Naziv obveznika</w:t>
            </w:r>
          </w:p>
        </w:tc>
        <w:tc>
          <w:tcPr>
            <w:tcW w:w="0" w:type="auto"/>
            <w:shd w:val="clear" w:color="auto" w:fill="E7F0F9"/>
          </w:tcPr>
          <w:p w:rsidR="007C37F0" w:rsidRDefault="00BF0EB0">
            <w:pPr>
              <w:spacing w:after="0" w:line="240" w:lineRule="auto"/>
            </w:pPr>
            <w:r>
              <w:t>SPECIJALNA BOLNICA ZA MEDICINSKU REHABILITACIJU VARAŽDINSKE TOPLICE</w:t>
            </w:r>
          </w:p>
        </w:tc>
      </w:tr>
      <w:tr w:rsidR="007C37F0">
        <w:trPr>
          <w:tblCellSpacing w:w="60" w:type="dxa"/>
        </w:trPr>
        <w:tc>
          <w:tcPr>
            <w:tcW w:w="1200" w:type="pct"/>
            <w:shd w:val="clear" w:color="auto" w:fill="E7F0F9"/>
          </w:tcPr>
          <w:p w:rsidR="007C37F0" w:rsidRDefault="00BF0EB0">
            <w:pPr>
              <w:spacing w:after="0" w:line="240" w:lineRule="auto"/>
            </w:pPr>
            <w:r>
              <w:rPr>
                <w:b/>
              </w:rPr>
              <w:t>Razina</w:t>
            </w:r>
          </w:p>
        </w:tc>
        <w:tc>
          <w:tcPr>
            <w:tcW w:w="0" w:type="auto"/>
            <w:shd w:val="clear" w:color="auto" w:fill="E7F0F9"/>
          </w:tcPr>
          <w:p w:rsidR="007C37F0" w:rsidRDefault="00BF0EB0">
            <w:pPr>
              <w:spacing w:after="0" w:line="240" w:lineRule="auto"/>
            </w:pPr>
            <w:r>
              <w:t>31</w:t>
            </w:r>
          </w:p>
        </w:tc>
      </w:tr>
    </w:tbl>
    <w:p w:rsidR="007C37F0" w:rsidRDefault="00BF0EB0">
      <w:r>
        <w:br/>
      </w:r>
    </w:p>
    <w:p w:rsidR="007C37F0" w:rsidRDefault="00BF0EB0">
      <w:pPr>
        <w:spacing w:line="240" w:lineRule="auto"/>
        <w:jc w:val="center"/>
      </w:pPr>
      <w:r>
        <w:rPr>
          <w:b/>
          <w:sz w:val="28"/>
        </w:rPr>
        <w:t>BILJEŠKE UZ FINANCIJSKE IZVJEŠTAJE</w:t>
      </w:r>
    </w:p>
    <w:p w:rsidR="007C37F0" w:rsidRDefault="00BF0EB0">
      <w:pPr>
        <w:spacing w:line="240" w:lineRule="auto"/>
        <w:jc w:val="center"/>
      </w:pPr>
      <w:r>
        <w:rPr>
          <w:b/>
          <w:sz w:val="28"/>
        </w:rPr>
        <w:t>ZA RAZDOBLJE</w:t>
      </w:r>
    </w:p>
    <w:p w:rsidR="007C37F0" w:rsidRDefault="00BF0EB0">
      <w:pPr>
        <w:spacing w:line="240" w:lineRule="auto"/>
        <w:jc w:val="center"/>
      </w:pPr>
      <w:r>
        <w:rPr>
          <w:b/>
          <w:sz w:val="28"/>
        </w:rPr>
        <w:t>I - XII 2025.</w:t>
      </w:r>
    </w:p>
    <w:p w:rsidR="007C37F0" w:rsidRDefault="007C37F0"/>
    <w:p w:rsidR="007C37F0" w:rsidRDefault="00BF0EB0">
      <w:pPr>
        <w:keepNext/>
        <w:spacing w:line="240" w:lineRule="auto"/>
        <w:jc w:val="center"/>
      </w:pPr>
      <w:r>
        <w:rPr>
          <w:b/>
          <w:sz w:val="28"/>
        </w:rPr>
        <w:t>Izvještaj o prihodima i rashodima, primicima i izdacima</w:t>
      </w:r>
    </w:p>
    <w:p w:rsidR="007C37F0" w:rsidRDefault="00BF0EB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w:t>
            </w:r>
          </w:p>
        </w:tc>
        <w:tc>
          <w:tcPr>
            <w:tcW w:w="3180" w:type="dxa"/>
            <w:tcMar>
              <w:top w:w="0" w:type="dxa"/>
              <w:bottom w:w="0" w:type="dxa"/>
            </w:tcMar>
            <w:vAlign w:val="center"/>
          </w:tcPr>
          <w:p w:rsidR="007C37F0" w:rsidRDefault="00BF0EB0">
            <w:pPr>
              <w:keepNext/>
              <w:keepLines/>
              <w:spacing w:after="0" w:line="240" w:lineRule="auto"/>
            </w:pPr>
            <w:r>
              <w:rPr>
                <w:sz w:val="18"/>
              </w:rPr>
              <w:t>PRIHODI POSLOVANJA (šifre 61+62+63+64+65+66+67+68)</w:t>
            </w:r>
          </w:p>
        </w:tc>
        <w:tc>
          <w:tcPr>
            <w:tcW w:w="700" w:type="dxa"/>
            <w:tcMar>
              <w:top w:w="0" w:type="dxa"/>
              <w:bottom w:w="0" w:type="dxa"/>
            </w:tcMar>
            <w:vAlign w:val="center"/>
          </w:tcPr>
          <w:p w:rsidR="007C37F0" w:rsidRDefault="00BF0EB0">
            <w:pPr>
              <w:keepNext/>
              <w:keepLines/>
              <w:spacing w:after="0" w:line="240" w:lineRule="auto"/>
            </w:pPr>
            <w:r>
              <w:rPr>
                <w:sz w:val="18"/>
              </w:rPr>
              <w:t>6</w:t>
            </w:r>
          </w:p>
        </w:tc>
        <w:tc>
          <w:tcPr>
            <w:tcW w:w="1860" w:type="dxa"/>
            <w:tcMar>
              <w:top w:w="0" w:type="dxa"/>
              <w:bottom w:w="0" w:type="dxa"/>
            </w:tcMar>
            <w:vAlign w:val="center"/>
          </w:tcPr>
          <w:p w:rsidR="007C37F0" w:rsidRDefault="00BF0EB0">
            <w:pPr>
              <w:keepNext/>
              <w:keepLines/>
              <w:spacing w:after="0" w:line="240" w:lineRule="auto"/>
              <w:jc w:val="right"/>
            </w:pPr>
            <w:r>
              <w:rPr>
                <w:sz w:val="18"/>
              </w:rPr>
              <w:t>27.783.782,23</w:t>
            </w:r>
          </w:p>
        </w:tc>
        <w:tc>
          <w:tcPr>
            <w:tcW w:w="1860" w:type="dxa"/>
            <w:tcMar>
              <w:top w:w="0" w:type="dxa"/>
              <w:bottom w:w="0" w:type="dxa"/>
            </w:tcMar>
            <w:vAlign w:val="center"/>
          </w:tcPr>
          <w:p w:rsidR="007C37F0" w:rsidRDefault="00BF0EB0">
            <w:pPr>
              <w:keepNext/>
              <w:keepLines/>
              <w:spacing w:after="0" w:line="240" w:lineRule="auto"/>
              <w:jc w:val="right"/>
            </w:pPr>
            <w:r>
              <w:rPr>
                <w:sz w:val="18"/>
              </w:rPr>
              <w:t>31.313.044,99</w:t>
            </w:r>
          </w:p>
        </w:tc>
        <w:tc>
          <w:tcPr>
            <w:tcW w:w="700" w:type="dxa"/>
            <w:tcMar>
              <w:top w:w="0" w:type="dxa"/>
              <w:bottom w:w="0" w:type="dxa"/>
            </w:tcMar>
            <w:vAlign w:val="center"/>
          </w:tcPr>
          <w:p w:rsidR="007C37F0" w:rsidRDefault="00BF0EB0">
            <w:pPr>
              <w:keepNext/>
              <w:keepLines/>
              <w:spacing w:after="0" w:line="240" w:lineRule="auto"/>
              <w:jc w:val="right"/>
            </w:pPr>
            <w:r>
              <w:rPr>
                <w:sz w:val="18"/>
              </w:rPr>
              <w:t>112,7</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w:t>
            </w:r>
          </w:p>
        </w:tc>
        <w:tc>
          <w:tcPr>
            <w:tcW w:w="3180" w:type="dxa"/>
            <w:tcMar>
              <w:top w:w="0" w:type="dxa"/>
              <w:bottom w:w="0" w:type="dxa"/>
            </w:tcMar>
            <w:vAlign w:val="center"/>
          </w:tcPr>
          <w:p w:rsidR="007C37F0" w:rsidRDefault="00BF0EB0">
            <w:pPr>
              <w:keepNext/>
              <w:keepLines/>
              <w:spacing w:after="0" w:line="240" w:lineRule="auto"/>
            </w:pPr>
            <w:r>
              <w:rPr>
                <w:sz w:val="18"/>
              </w:rPr>
              <w:t>RASHODI POSLOVANJA (šifre 31+32+34+35+36+37+38)</w:t>
            </w:r>
          </w:p>
        </w:tc>
        <w:tc>
          <w:tcPr>
            <w:tcW w:w="700" w:type="dxa"/>
            <w:tcMar>
              <w:top w:w="0" w:type="dxa"/>
              <w:bottom w:w="0" w:type="dxa"/>
            </w:tcMar>
            <w:vAlign w:val="center"/>
          </w:tcPr>
          <w:p w:rsidR="007C37F0" w:rsidRDefault="00BF0EB0">
            <w:pPr>
              <w:keepNext/>
              <w:keepLines/>
              <w:spacing w:after="0" w:line="240" w:lineRule="auto"/>
            </w:pPr>
            <w:r>
              <w:rPr>
                <w:sz w:val="18"/>
              </w:rPr>
              <w:t>3</w:t>
            </w:r>
          </w:p>
        </w:tc>
        <w:tc>
          <w:tcPr>
            <w:tcW w:w="1860" w:type="dxa"/>
            <w:tcMar>
              <w:top w:w="0" w:type="dxa"/>
              <w:bottom w:w="0" w:type="dxa"/>
            </w:tcMar>
            <w:vAlign w:val="center"/>
          </w:tcPr>
          <w:p w:rsidR="007C37F0" w:rsidRDefault="00BF0EB0">
            <w:pPr>
              <w:keepNext/>
              <w:keepLines/>
              <w:spacing w:after="0" w:line="240" w:lineRule="auto"/>
              <w:jc w:val="right"/>
            </w:pPr>
            <w:r>
              <w:rPr>
                <w:sz w:val="18"/>
              </w:rPr>
              <w:t>25.409.592,06</w:t>
            </w:r>
          </w:p>
        </w:tc>
        <w:tc>
          <w:tcPr>
            <w:tcW w:w="1860" w:type="dxa"/>
            <w:tcMar>
              <w:top w:w="0" w:type="dxa"/>
              <w:bottom w:w="0" w:type="dxa"/>
            </w:tcMar>
            <w:vAlign w:val="center"/>
          </w:tcPr>
          <w:p w:rsidR="007C37F0" w:rsidRDefault="00BF0EB0">
            <w:pPr>
              <w:keepNext/>
              <w:keepLines/>
              <w:spacing w:after="0" w:line="240" w:lineRule="auto"/>
              <w:jc w:val="right"/>
            </w:pPr>
            <w:r>
              <w:rPr>
                <w:sz w:val="18"/>
              </w:rPr>
              <w:t>24.087.832,20</w:t>
            </w:r>
          </w:p>
        </w:tc>
        <w:tc>
          <w:tcPr>
            <w:tcW w:w="700" w:type="dxa"/>
            <w:tcMar>
              <w:top w:w="0" w:type="dxa"/>
              <w:bottom w:w="0" w:type="dxa"/>
            </w:tcMar>
            <w:vAlign w:val="center"/>
          </w:tcPr>
          <w:p w:rsidR="007C37F0" w:rsidRDefault="00BF0EB0">
            <w:pPr>
              <w:keepNext/>
              <w:keepLines/>
              <w:spacing w:after="0" w:line="240" w:lineRule="auto"/>
              <w:jc w:val="right"/>
            </w:pPr>
            <w:r>
              <w:rPr>
                <w:sz w:val="18"/>
              </w:rPr>
              <w:t>94,8</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b/>
                <w:sz w:val="18"/>
              </w:rPr>
              <w:t>VIŠAK PRIHODA POSLOVANJA (šifre 6-Z005)</w:t>
            </w:r>
          </w:p>
        </w:tc>
        <w:tc>
          <w:tcPr>
            <w:tcW w:w="700" w:type="dxa"/>
            <w:tcMar>
              <w:top w:w="0" w:type="dxa"/>
              <w:bottom w:w="0" w:type="dxa"/>
            </w:tcMar>
            <w:vAlign w:val="center"/>
          </w:tcPr>
          <w:p w:rsidR="007C37F0" w:rsidRDefault="00BF0EB0">
            <w:pPr>
              <w:keepNext/>
              <w:keepLines/>
              <w:spacing w:after="0" w:line="240" w:lineRule="auto"/>
            </w:pPr>
            <w:r>
              <w:rPr>
                <w:b/>
                <w:sz w:val="18"/>
              </w:rPr>
              <w:t>X001</w:t>
            </w:r>
          </w:p>
        </w:tc>
        <w:tc>
          <w:tcPr>
            <w:tcW w:w="1860" w:type="dxa"/>
            <w:tcMar>
              <w:top w:w="0" w:type="dxa"/>
              <w:bottom w:w="0" w:type="dxa"/>
            </w:tcMar>
            <w:vAlign w:val="center"/>
          </w:tcPr>
          <w:p w:rsidR="007C37F0" w:rsidRDefault="00BF0EB0">
            <w:pPr>
              <w:keepNext/>
              <w:keepLines/>
              <w:spacing w:after="0" w:line="240" w:lineRule="auto"/>
              <w:jc w:val="right"/>
            </w:pPr>
            <w:r>
              <w:rPr>
                <w:b/>
                <w:sz w:val="18"/>
              </w:rPr>
              <w:t>2.374.190,17</w:t>
            </w:r>
          </w:p>
        </w:tc>
        <w:tc>
          <w:tcPr>
            <w:tcW w:w="1860" w:type="dxa"/>
            <w:tcMar>
              <w:top w:w="0" w:type="dxa"/>
              <w:bottom w:w="0" w:type="dxa"/>
            </w:tcMar>
            <w:vAlign w:val="center"/>
          </w:tcPr>
          <w:p w:rsidR="007C37F0" w:rsidRDefault="00BF0EB0">
            <w:pPr>
              <w:keepNext/>
              <w:keepLines/>
              <w:spacing w:after="0" w:line="240" w:lineRule="auto"/>
              <w:jc w:val="right"/>
            </w:pPr>
            <w:r>
              <w:rPr>
                <w:b/>
                <w:sz w:val="18"/>
              </w:rPr>
              <w:t>7.225.212,79</w:t>
            </w:r>
          </w:p>
        </w:tc>
        <w:tc>
          <w:tcPr>
            <w:tcW w:w="700" w:type="dxa"/>
            <w:tcMar>
              <w:top w:w="0" w:type="dxa"/>
              <w:bottom w:w="0" w:type="dxa"/>
            </w:tcMar>
            <w:vAlign w:val="center"/>
          </w:tcPr>
          <w:p w:rsidR="007C37F0" w:rsidRDefault="00BF0EB0">
            <w:pPr>
              <w:keepNext/>
              <w:keepLines/>
              <w:spacing w:after="0" w:line="240" w:lineRule="auto"/>
              <w:jc w:val="right"/>
            </w:pPr>
            <w:r>
              <w:rPr>
                <w:b/>
                <w:sz w:val="18"/>
              </w:rPr>
              <w:t>304,3</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7</w:t>
            </w:r>
          </w:p>
        </w:tc>
        <w:tc>
          <w:tcPr>
            <w:tcW w:w="3180" w:type="dxa"/>
            <w:tcMar>
              <w:top w:w="0" w:type="dxa"/>
              <w:bottom w:w="0" w:type="dxa"/>
            </w:tcMar>
            <w:vAlign w:val="center"/>
          </w:tcPr>
          <w:p w:rsidR="007C37F0" w:rsidRDefault="00BF0EB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C37F0" w:rsidRDefault="00BF0EB0">
            <w:pPr>
              <w:keepNext/>
              <w:keepLines/>
              <w:spacing w:after="0" w:line="240" w:lineRule="auto"/>
            </w:pPr>
            <w:r>
              <w:rPr>
                <w:sz w:val="18"/>
              </w:rPr>
              <w:t>7</w:t>
            </w:r>
          </w:p>
        </w:tc>
        <w:tc>
          <w:tcPr>
            <w:tcW w:w="1860" w:type="dxa"/>
            <w:tcMar>
              <w:top w:w="0" w:type="dxa"/>
              <w:bottom w:w="0" w:type="dxa"/>
            </w:tcMar>
            <w:vAlign w:val="center"/>
          </w:tcPr>
          <w:p w:rsidR="007C37F0" w:rsidRDefault="00BF0EB0">
            <w:pPr>
              <w:keepNext/>
              <w:keepLines/>
              <w:spacing w:after="0" w:line="240" w:lineRule="auto"/>
              <w:jc w:val="right"/>
            </w:pPr>
            <w:r>
              <w:rPr>
                <w:sz w:val="18"/>
              </w:rPr>
              <w:t>96,08</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700" w:type="dxa"/>
            <w:tcMar>
              <w:top w:w="0" w:type="dxa"/>
              <w:bottom w:w="0" w:type="dxa"/>
            </w:tcMar>
            <w:vAlign w:val="center"/>
          </w:tcPr>
          <w:p w:rsidR="007C37F0" w:rsidRDefault="00BF0EB0">
            <w:pPr>
              <w:keepNext/>
              <w:keepLines/>
              <w:spacing w:after="0" w:line="240" w:lineRule="auto"/>
              <w:jc w:val="right"/>
            </w:pPr>
            <w:r>
              <w:rPr>
                <w:sz w:val="18"/>
              </w:rPr>
              <w:t>0</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4</w:t>
            </w:r>
          </w:p>
        </w:tc>
        <w:tc>
          <w:tcPr>
            <w:tcW w:w="3180" w:type="dxa"/>
            <w:tcMar>
              <w:top w:w="0" w:type="dxa"/>
              <w:bottom w:w="0" w:type="dxa"/>
            </w:tcMar>
            <w:vAlign w:val="center"/>
          </w:tcPr>
          <w:p w:rsidR="007C37F0" w:rsidRDefault="00BF0EB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C37F0" w:rsidRDefault="00BF0EB0">
            <w:pPr>
              <w:keepNext/>
              <w:keepLines/>
              <w:spacing w:after="0" w:line="240" w:lineRule="auto"/>
            </w:pPr>
            <w:r>
              <w:rPr>
                <w:sz w:val="18"/>
              </w:rPr>
              <w:t>4</w:t>
            </w:r>
          </w:p>
        </w:tc>
        <w:tc>
          <w:tcPr>
            <w:tcW w:w="1860" w:type="dxa"/>
            <w:tcMar>
              <w:top w:w="0" w:type="dxa"/>
              <w:bottom w:w="0" w:type="dxa"/>
            </w:tcMar>
            <w:vAlign w:val="center"/>
          </w:tcPr>
          <w:p w:rsidR="007C37F0" w:rsidRDefault="00BF0EB0">
            <w:pPr>
              <w:keepNext/>
              <w:keepLines/>
              <w:spacing w:after="0" w:line="240" w:lineRule="auto"/>
              <w:jc w:val="right"/>
            </w:pPr>
            <w:r>
              <w:rPr>
                <w:sz w:val="18"/>
              </w:rPr>
              <w:t>1.745.341,68</w:t>
            </w:r>
          </w:p>
        </w:tc>
        <w:tc>
          <w:tcPr>
            <w:tcW w:w="1860" w:type="dxa"/>
            <w:tcMar>
              <w:top w:w="0" w:type="dxa"/>
              <w:bottom w:w="0" w:type="dxa"/>
            </w:tcMar>
            <w:vAlign w:val="center"/>
          </w:tcPr>
          <w:p w:rsidR="007C37F0" w:rsidRDefault="00BF0EB0">
            <w:pPr>
              <w:keepNext/>
              <w:keepLines/>
              <w:spacing w:after="0" w:line="240" w:lineRule="auto"/>
              <w:jc w:val="right"/>
            </w:pPr>
            <w:r>
              <w:rPr>
                <w:sz w:val="18"/>
              </w:rPr>
              <w:t>13.331.796,94</w:t>
            </w:r>
          </w:p>
        </w:tc>
        <w:tc>
          <w:tcPr>
            <w:tcW w:w="700" w:type="dxa"/>
            <w:tcMar>
              <w:top w:w="0" w:type="dxa"/>
              <w:bottom w:w="0" w:type="dxa"/>
            </w:tcMar>
            <w:vAlign w:val="center"/>
          </w:tcPr>
          <w:p w:rsidR="007C37F0" w:rsidRDefault="00BF0EB0">
            <w:pPr>
              <w:keepNext/>
              <w:keepLines/>
              <w:spacing w:after="0" w:line="240" w:lineRule="auto"/>
              <w:jc w:val="right"/>
            </w:pPr>
            <w:r>
              <w:rPr>
                <w:sz w:val="18"/>
              </w:rPr>
              <w:t>763,9</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C37F0" w:rsidRDefault="00BF0EB0">
            <w:pPr>
              <w:keepNext/>
              <w:keepLines/>
              <w:spacing w:after="0" w:line="240" w:lineRule="auto"/>
            </w:pPr>
            <w:r>
              <w:rPr>
                <w:b/>
                <w:sz w:val="18"/>
              </w:rPr>
              <w:t>Y002</w:t>
            </w:r>
          </w:p>
        </w:tc>
        <w:tc>
          <w:tcPr>
            <w:tcW w:w="1860" w:type="dxa"/>
            <w:tcMar>
              <w:top w:w="0" w:type="dxa"/>
              <w:bottom w:w="0" w:type="dxa"/>
            </w:tcMar>
            <w:vAlign w:val="center"/>
          </w:tcPr>
          <w:p w:rsidR="007C37F0" w:rsidRDefault="00BF0EB0">
            <w:pPr>
              <w:keepNext/>
              <w:keepLines/>
              <w:spacing w:after="0" w:line="240" w:lineRule="auto"/>
              <w:jc w:val="right"/>
            </w:pPr>
            <w:r>
              <w:rPr>
                <w:b/>
                <w:sz w:val="18"/>
              </w:rPr>
              <w:t>1.745.245,60</w:t>
            </w:r>
          </w:p>
        </w:tc>
        <w:tc>
          <w:tcPr>
            <w:tcW w:w="1860" w:type="dxa"/>
            <w:tcMar>
              <w:top w:w="0" w:type="dxa"/>
              <w:bottom w:w="0" w:type="dxa"/>
            </w:tcMar>
            <w:vAlign w:val="center"/>
          </w:tcPr>
          <w:p w:rsidR="007C37F0" w:rsidRDefault="00BF0EB0">
            <w:pPr>
              <w:keepNext/>
              <w:keepLines/>
              <w:spacing w:after="0" w:line="240" w:lineRule="auto"/>
              <w:jc w:val="right"/>
            </w:pPr>
            <w:r>
              <w:rPr>
                <w:b/>
                <w:sz w:val="18"/>
              </w:rPr>
              <w:t>13.331.796,94</w:t>
            </w:r>
          </w:p>
        </w:tc>
        <w:tc>
          <w:tcPr>
            <w:tcW w:w="700" w:type="dxa"/>
            <w:tcMar>
              <w:top w:w="0" w:type="dxa"/>
              <w:bottom w:w="0" w:type="dxa"/>
            </w:tcMar>
            <w:vAlign w:val="center"/>
          </w:tcPr>
          <w:p w:rsidR="007C37F0" w:rsidRDefault="00BF0EB0">
            <w:pPr>
              <w:keepNext/>
              <w:keepLines/>
              <w:spacing w:after="0" w:line="240" w:lineRule="auto"/>
              <w:jc w:val="right"/>
            </w:pPr>
            <w:r>
              <w:rPr>
                <w:b/>
                <w:sz w:val="18"/>
              </w:rPr>
              <w:t>763,9</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8</w:t>
            </w:r>
          </w:p>
        </w:tc>
        <w:tc>
          <w:tcPr>
            <w:tcW w:w="3180" w:type="dxa"/>
            <w:tcMar>
              <w:top w:w="0" w:type="dxa"/>
              <w:bottom w:w="0" w:type="dxa"/>
            </w:tcMar>
            <w:vAlign w:val="center"/>
          </w:tcPr>
          <w:p w:rsidR="007C37F0" w:rsidRDefault="00BF0EB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C37F0" w:rsidRDefault="00BF0EB0">
            <w:pPr>
              <w:keepNext/>
              <w:keepLines/>
              <w:spacing w:after="0" w:line="240" w:lineRule="auto"/>
            </w:pPr>
            <w:r>
              <w:rPr>
                <w:sz w:val="18"/>
              </w:rPr>
              <w:t>8</w:t>
            </w:r>
          </w:p>
        </w:tc>
        <w:tc>
          <w:tcPr>
            <w:tcW w:w="1860" w:type="dxa"/>
            <w:tcMar>
              <w:top w:w="0" w:type="dxa"/>
              <w:bottom w:w="0" w:type="dxa"/>
            </w:tcMar>
            <w:vAlign w:val="center"/>
          </w:tcPr>
          <w:p w:rsidR="007C37F0" w:rsidRDefault="00BF0EB0">
            <w:pPr>
              <w:keepNext/>
              <w:keepLines/>
              <w:spacing w:after="0" w:line="240" w:lineRule="auto"/>
              <w:jc w:val="right"/>
            </w:pPr>
            <w:r>
              <w:rPr>
                <w:sz w:val="18"/>
              </w:rPr>
              <w:t>498.586,14</w:t>
            </w:r>
          </w:p>
        </w:tc>
        <w:tc>
          <w:tcPr>
            <w:tcW w:w="1860" w:type="dxa"/>
            <w:tcMar>
              <w:top w:w="0" w:type="dxa"/>
              <w:bottom w:w="0" w:type="dxa"/>
            </w:tcMar>
            <w:vAlign w:val="center"/>
          </w:tcPr>
          <w:p w:rsidR="007C37F0" w:rsidRDefault="00BF0EB0">
            <w:pPr>
              <w:keepNext/>
              <w:keepLines/>
              <w:spacing w:after="0" w:line="240" w:lineRule="auto"/>
              <w:jc w:val="right"/>
            </w:pPr>
            <w:r>
              <w:rPr>
                <w:sz w:val="18"/>
              </w:rPr>
              <w:t>1.007.289,65</w:t>
            </w:r>
          </w:p>
        </w:tc>
        <w:tc>
          <w:tcPr>
            <w:tcW w:w="700" w:type="dxa"/>
            <w:tcMar>
              <w:top w:w="0" w:type="dxa"/>
              <w:bottom w:w="0" w:type="dxa"/>
            </w:tcMar>
            <w:vAlign w:val="center"/>
          </w:tcPr>
          <w:p w:rsidR="007C37F0" w:rsidRDefault="00BF0EB0">
            <w:pPr>
              <w:keepNext/>
              <w:keepLines/>
              <w:spacing w:after="0" w:line="240" w:lineRule="auto"/>
              <w:jc w:val="right"/>
            </w:pPr>
            <w:r>
              <w:rPr>
                <w:sz w:val="18"/>
              </w:rPr>
              <w:t>202,0</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5</w:t>
            </w:r>
          </w:p>
        </w:tc>
        <w:tc>
          <w:tcPr>
            <w:tcW w:w="3180" w:type="dxa"/>
            <w:tcMar>
              <w:top w:w="0" w:type="dxa"/>
              <w:bottom w:w="0" w:type="dxa"/>
            </w:tcMar>
            <w:vAlign w:val="center"/>
          </w:tcPr>
          <w:p w:rsidR="007C37F0" w:rsidRDefault="00BF0EB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7C37F0" w:rsidRDefault="00BF0EB0">
            <w:pPr>
              <w:keepNext/>
              <w:keepLines/>
              <w:spacing w:after="0" w:line="240" w:lineRule="auto"/>
            </w:pPr>
            <w:r>
              <w:rPr>
                <w:sz w:val="18"/>
              </w:rPr>
              <w:t>5</w:t>
            </w:r>
          </w:p>
        </w:tc>
        <w:tc>
          <w:tcPr>
            <w:tcW w:w="1860" w:type="dxa"/>
            <w:tcMar>
              <w:top w:w="0" w:type="dxa"/>
              <w:bottom w:w="0" w:type="dxa"/>
            </w:tcMar>
            <w:vAlign w:val="center"/>
          </w:tcPr>
          <w:p w:rsidR="007C37F0" w:rsidRDefault="00BF0EB0">
            <w:pPr>
              <w:keepNext/>
              <w:keepLines/>
              <w:spacing w:after="0" w:line="240" w:lineRule="auto"/>
              <w:jc w:val="right"/>
            </w:pPr>
            <w:r>
              <w:rPr>
                <w:sz w:val="18"/>
              </w:rPr>
              <w:t>1.831.389,46</w:t>
            </w:r>
          </w:p>
        </w:tc>
        <w:tc>
          <w:tcPr>
            <w:tcW w:w="1860" w:type="dxa"/>
            <w:tcMar>
              <w:top w:w="0" w:type="dxa"/>
              <w:bottom w:w="0" w:type="dxa"/>
            </w:tcMar>
            <w:vAlign w:val="center"/>
          </w:tcPr>
          <w:p w:rsidR="007C37F0" w:rsidRDefault="00BF0EB0">
            <w:pPr>
              <w:keepNext/>
              <w:keepLines/>
              <w:spacing w:after="0" w:line="240" w:lineRule="auto"/>
              <w:jc w:val="right"/>
            </w:pPr>
            <w:r>
              <w:rPr>
                <w:sz w:val="18"/>
              </w:rPr>
              <w:t>1.370.612,53</w:t>
            </w:r>
          </w:p>
        </w:tc>
        <w:tc>
          <w:tcPr>
            <w:tcW w:w="700" w:type="dxa"/>
            <w:tcMar>
              <w:top w:w="0" w:type="dxa"/>
              <w:bottom w:w="0" w:type="dxa"/>
            </w:tcMar>
            <w:vAlign w:val="center"/>
          </w:tcPr>
          <w:p w:rsidR="007C37F0" w:rsidRDefault="00BF0EB0">
            <w:pPr>
              <w:keepNext/>
              <w:keepLines/>
              <w:spacing w:after="0" w:line="240" w:lineRule="auto"/>
              <w:jc w:val="right"/>
            </w:pPr>
            <w:r>
              <w:rPr>
                <w:sz w:val="18"/>
              </w:rPr>
              <w:t>74,8</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7C37F0" w:rsidRDefault="00BF0EB0">
            <w:pPr>
              <w:keepNext/>
              <w:keepLines/>
              <w:spacing w:after="0" w:line="240" w:lineRule="auto"/>
            </w:pPr>
            <w:r>
              <w:rPr>
                <w:b/>
                <w:sz w:val="18"/>
              </w:rPr>
              <w:t>Y003</w:t>
            </w:r>
          </w:p>
        </w:tc>
        <w:tc>
          <w:tcPr>
            <w:tcW w:w="1860" w:type="dxa"/>
            <w:tcMar>
              <w:top w:w="0" w:type="dxa"/>
              <w:bottom w:w="0" w:type="dxa"/>
            </w:tcMar>
            <w:vAlign w:val="center"/>
          </w:tcPr>
          <w:p w:rsidR="007C37F0" w:rsidRDefault="00BF0EB0">
            <w:pPr>
              <w:keepNext/>
              <w:keepLines/>
              <w:spacing w:after="0" w:line="240" w:lineRule="auto"/>
              <w:jc w:val="right"/>
            </w:pPr>
            <w:r>
              <w:rPr>
                <w:b/>
                <w:sz w:val="18"/>
              </w:rPr>
              <w:t>1.332.803,32</w:t>
            </w:r>
          </w:p>
        </w:tc>
        <w:tc>
          <w:tcPr>
            <w:tcW w:w="1860" w:type="dxa"/>
            <w:tcMar>
              <w:top w:w="0" w:type="dxa"/>
              <w:bottom w:w="0" w:type="dxa"/>
            </w:tcMar>
            <w:vAlign w:val="center"/>
          </w:tcPr>
          <w:p w:rsidR="007C37F0" w:rsidRDefault="00BF0EB0">
            <w:pPr>
              <w:keepNext/>
              <w:keepLines/>
              <w:spacing w:after="0" w:line="240" w:lineRule="auto"/>
              <w:jc w:val="right"/>
            </w:pPr>
            <w:r>
              <w:rPr>
                <w:b/>
                <w:sz w:val="18"/>
              </w:rPr>
              <w:t>363.322,88</w:t>
            </w:r>
          </w:p>
        </w:tc>
        <w:tc>
          <w:tcPr>
            <w:tcW w:w="700" w:type="dxa"/>
            <w:tcMar>
              <w:top w:w="0" w:type="dxa"/>
              <w:bottom w:w="0" w:type="dxa"/>
            </w:tcMar>
            <w:vAlign w:val="center"/>
          </w:tcPr>
          <w:p w:rsidR="007C37F0" w:rsidRDefault="00BF0EB0">
            <w:pPr>
              <w:keepNext/>
              <w:keepLines/>
              <w:spacing w:after="0" w:line="240" w:lineRule="auto"/>
              <w:jc w:val="right"/>
            </w:pPr>
            <w:r>
              <w:rPr>
                <w:b/>
                <w:sz w:val="18"/>
              </w:rPr>
              <w:t>27,3</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b/>
                <w:sz w:val="18"/>
              </w:rPr>
              <w:t>MANJAK PRIHODA I PRIMITAKA (šifre Y345-X678)</w:t>
            </w:r>
          </w:p>
        </w:tc>
        <w:tc>
          <w:tcPr>
            <w:tcW w:w="700" w:type="dxa"/>
            <w:tcMar>
              <w:top w:w="0" w:type="dxa"/>
              <w:bottom w:w="0" w:type="dxa"/>
            </w:tcMar>
            <w:vAlign w:val="center"/>
          </w:tcPr>
          <w:p w:rsidR="007C37F0" w:rsidRDefault="00BF0EB0">
            <w:pPr>
              <w:keepNext/>
              <w:keepLines/>
              <w:spacing w:after="0" w:line="240" w:lineRule="auto"/>
            </w:pPr>
            <w:r>
              <w:rPr>
                <w:b/>
                <w:sz w:val="18"/>
              </w:rPr>
              <w:t>Y005</w:t>
            </w:r>
          </w:p>
        </w:tc>
        <w:tc>
          <w:tcPr>
            <w:tcW w:w="1860" w:type="dxa"/>
            <w:tcMar>
              <w:top w:w="0" w:type="dxa"/>
              <w:bottom w:w="0" w:type="dxa"/>
            </w:tcMar>
            <w:vAlign w:val="center"/>
          </w:tcPr>
          <w:p w:rsidR="007C37F0" w:rsidRDefault="00BF0EB0">
            <w:pPr>
              <w:keepNext/>
              <w:keepLines/>
              <w:spacing w:after="0" w:line="240" w:lineRule="auto"/>
              <w:jc w:val="right"/>
            </w:pPr>
            <w:r>
              <w:rPr>
                <w:b/>
                <w:sz w:val="18"/>
              </w:rPr>
              <w:t>703.858,75</w:t>
            </w:r>
          </w:p>
        </w:tc>
        <w:tc>
          <w:tcPr>
            <w:tcW w:w="1860" w:type="dxa"/>
            <w:tcMar>
              <w:top w:w="0" w:type="dxa"/>
              <w:bottom w:w="0" w:type="dxa"/>
            </w:tcMar>
            <w:vAlign w:val="center"/>
          </w:tcPr>
          <w:p w:rsidR="007C37F0" w:rsidRDefault="00BF0EB0">
            <w:pPr>
              <w:keepNext/>
              <w:keepLines/>
              <w:spacing w:after="0" w:line="240" w:lineRule="auto"/>
              <w:jc w:val="right"/>
            </w:pPr>
            <w:r>
              <w:rPr>
                <w:b/>
                <w:sz w:val="18"/>
              </w:rPr>
              <w:t>6.469.907,03</w:t>
            </w:r>
          </w:p>
        </w:tc>
        <w:tc>
          <w:tcPr>
            <w:tcW w:w="700" w:type="dxa"/>
            <w:tcMar>
              <w:top w:w="0" w:type="dxa"/>
              <w:bottom w:w="0" w:type="dxa"/>
            </w:tcMar>
            <w:vAlign w:val="center"/>
          </w:tcPr>
          <w:p w:rsidR="007C37F0" w:rsidRDefault="00BF0EB0">
            <w:pPr>
              <w:keepNext/>
              <w:keepLines/>
              <w:spacing w:after="0" w:line="240" w:lineRule="auto"/>
              <w:jc w:val="right"/>
            </w:pPr>
            <w:r>
              <w:rPr>
                <w:b/>
                <w:sz w:val="18"/>
              </w:rPr>
              <w:t>919,2</w:t>
            </w:r>
          </w:p>
        </w:tc>
      </w:tr>
    </w:tbl>
    <w:p w:rsidR="007C37F0" w:rsidRDefault="007C37F0">
      <w:pPr>
        <w:spacing w:after="0"/>
      </w:pPr>
    </w:p>
    <w:p w:rsidR="007C37F0" w:rsidRDefault="00BF0EB0" w:rsidP="00FD1901">
      <w:pPr>
        <w:jc w:val="both"/>
      </w:pPr>
      <w:r>
        <w:t>Na rezultat poslovanja u izvještajnom razdoblju utjecalo je nekoliko ključnih čimbenika:</w:t>
      </w:r>
    </w:p>
    <w:p w:rsidR="007C37F0" w:rsidRDefault="00BF0EB0" w:rsidP="00FD1901">
      <w:pPr>
        <w:jc w:val="both"/>
      </w:pPr>
      <w:r>
        <w:t xml:space="preserve">Višak prihoda poslovanja: iskazani je višak prihoda poslovanja u iznosu 7.225.212,79 eura, veći je u odnosu na prethodnu godinu za 4.851.022,62 eura. Zbog zatvaranja hotela Minerva velika većina troškova je odlukom čelnika svedena na minimum, odnosno nabavljala su se samo nužna oprema i neophodni materijali, evidentirani su smanjeni troškovi energije. Iako su prihodi </w:t>
      </w:r>
      <w:r>
        <w:lastRenderedPageBreak/>
        <w:t>ostvareni u znatno manjem obimu nego prethodne godine, smanjenje troškova imalo je učinak na višak prihoda poslovanja.</w:t>
      </w:r>
    </w:p>
    <w:p w:rsidR="007C37F0" w:rsidRDefault="00BF0EB0" w:rsidP="00FD1901">
      <w:pPr>
        <w:jc w:val="both"/>
      </w:pPr>
      <w:r>
        <w:t>Manjak prihoda od nefinancijske imovine evidentiran je u iznosu 13.331.796,94 eura, a najvećim dijelom se odnosi izvođenje građevinsko-obrtničkih i instalaterskih radova na projektu "Unapređenje kvalitete smještaja i sadržaja hotela Minerva". Iako je za predmetn</w:t>
      </w:r>
      <w:r w:rsidR="00164714">
        <w:t>e</w:t>
      </w:r>
      <w:r>
        <w:t xml:space="preserve"> radove primljen predujam iz fondova Europske unije, isti je zatvoren po plaćanju dobavljača, odnosno nakon odobrenja ZNS-a. </w:t>
      </w:r>
    </w:p>
    <w:p w:rsidR="007C37F0" w:rsidRDefault="00BF0EB0" w:rsidP="00FD1901">
      <w:pPr>
        <w:jc w:val="both"/>
      </w:pPr>
      <w:r>
        <w:t xml:space="preserve">Manjak od financijske imovine i zaduživanja iznosi 363.322,88 eura, manji je za 72,70% u odnosu  na isto razdoblje prethodne godine. Evidentirani su primici od kratkoročnog Cash </w:t>
      </w:r>
      <w:proofErr w:type="spellStart"/>
      <w:r>
        <w:t>pool</w:t>
      </w:r>
      <w:proofErr w:type="spellEnd"/>
      <w:r>
        <w:t xml:space="preserve"> kredita u iznosu 1.007.289,65 eura te izdaci u iznosu 1.370.613,53 eura za otplatu glavnice po investicijskim kreditima energetske obnove bolničkih zgrada.</w:t>
      </w:r>
    </w:p>
    <w:p w:rsidR="007C37F0" w:rsidRDefault="00BF0EB0" w:rsidP="00FD1901">
      <w:pPr>
        <w:jc w:val="both"/>
      </w:pPr>
      <w:r>
        <w:t>Da su bolnici bili dostupni svi smještajni kapaciteti, ugovoreni limit bi bio ostvaren, a dodatni tržišni prihodi ostvareni, što bi znatno poboljšalo financijski rezultat za 2025. godinu.</w:t>
      </w:r>
    </w:p>
    <w:p w:rsidR="007C37F0" w:rsidRDefault="00BF0EB0">
      <w:r>
        <w:t> </w:t>
      </w:r>
    </w:p>
    <w:p w:rsidR="007C37F0" w:rsidRDefault="00BF0EB0">
      <w:r>
        <w:br/>
      </w:r>
    </w:p>
    <w:p w:rsidR="007C37F0" w:rsidRDefault="00BF0EB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w:t>
            </w:r>
          </w:p>
        </w:tc>
        <w:tc>
          <w:tcPr>
            <w:tcW w:w="3180" w:type="dxa"/>
            <w:tcMar>
              <w:top w:w="0" w:type="dxa"/>
              <w:bottom w:w="0" w:type="dxa"/>
            </w:tcMar>
            <w:vAlign w:val="center"/>
          </w:tcPr>
          <w:p w:rsidR="007C37F0" w:rsidRDefault="00BF0EB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7C37F0" w:rsidRDefault="00BF0EB0">
            <w:pPr>
              <w:keepNext/>
              <w:keepLines/>
              <w:spacing w:after="0" w:line="240" w:lineRule="auto"/>
            </w:pPr>
            <w:r>
              <w:rPr>
                <w:sz w:val="18"/>
              </w:rPr>
              <w:t>63</w:t>
            </w:r>
          </w:p>
        </w:tc>
        <w:tc>
          <w:tcPr>
            <w:tcW w:w="1860" w:type="dxa"/>
            <w:tcMar>
              <w:top w:w="0" w:type="dxa"/>
              <w:bottom w:w="0" w:type="dxa"/>
            </w:tcMar>
            <w:vAlign w:val="center"/>
          </w:tcPr>
          <w:p w:rsidR="007C37F0" w:rsidRDefault="00BF0EB0">
            <w:pPr>
              <w:keepNext/>
              <w:keepLines/>
              <w:spacing w:after="0" w:line="240" w:lineRule="auto"/>
              <w:jc w:val="right"/>
            </w:pPr>
            <w:r>
              <w:rPr>
                <w:sz w:val="18"/>
              </w:rPr>
              <w:t>612.975,33</w:t>
            </w:r>
          </w:p>
        </w:tc>
        <w:tc>
          <w:tcPr>
            <w:tcW w:w="1860" w:type="dxa"/>
            <w:tcMar>
              <w:top w:w="0" w:type="dxa"/>
              <w:bottom w:w="0" w:type="dxa"/>
            </w:tcMar>
            <w:vAlign w:val="center"/>
          </w:tcPr>
          <w:p w:rsidR="007C37F0" w:rsidRDefault="00BF0EB0">
            <w:pPr>
              <w:keepNext/>
              <w:keepLines/>
              <w:spacing w:after="0" w:line="240" w:lineRule="auto"/>
              <w:jc w:val="right"/>
            </w:pPr>
            <w:r>
              <w:rPr>
                <w:sz w:val="18"/>
              </w:rPr>
              <w:t>9.075.841,05</w:t>
            </w:r>
          </w:p>
        </w:tc>
        <w:tc>
          <w:tcPr>
            <w:tcW w:w="700" w:type="dxa"/>
            <w:tcMar>
              <w:top w:w="0" w:type="dxa"/>
              <w:bottom w:w="0" w:type="dxa"/>
            </w:tcMar>
            <w:vAlign w:val="center"/>
          </w:tcPr>
          <w:p w:rsidR="007C37F0" w:rsidRDefault="00BF0EB0">
            <w:pPr>
              <w:keepNext/>
              <w:keepLines/>
              <w:spacing w:after="0" w:line="240" w:lineRule="auto"/>
              <w:jc w:val="right"/>
            </w:pPr>
            <w:r>
              <w:rPr>
                <w:sz w:val="18"/>
              </w:rPr>
              <w:t>1480,6</w:t>
            </w:r>
          </w:p>
        </w:tc>
      </w:tr>
    </w:tbl>
    <w:p w:rsidR="007C37F0" w:rsidRDefault="007C37F0">
      <w:pPr>
        <w:spacing w:after="0"/>
      </w:pPr>
    </w:p>
    <w:p w:rsidR="007C37F0" w:rsidRDefault="00BF0EB0" w:rsidP="00FD1901">
      <w:pPr>
        <w:jc w:val="both"/>
      </w:pPr>
      <w:r>
        <w:t>U poslovnoj 2025. godini ostvarene su pomoći u ukupnom iznosu od 9.075.841,05 eura, što predstavlja povećanje od 1.380,60% odnosno 8.462.865,72 eura u odnosu na prethodnu 2024. godinu.</w:t>
      </w:r>
    </w:p>
    <w:p w:rsidR="007C37F0" w:rsidRDefault="00BF0EB0" w:rsidP="00FD1901">
      <w:pPr>
        <w:jc w:val="both"/>
      </w:pPr>
      <w:r>
        <w:t>U poslovnoj 2025. godini zabilježen je porast sredstava dobivenih od Hrvatskog zavoda za zapošljavanje za financiranje plaća pripravnika medicinske struke, dobiveno je više pomoći iz proračuna koji nam nije nadležan te je evidentirano povećanje sredstava iz fondova Europske unije za sufinanciranje troškova projekta „Unapređenje kvalitete smještaja i sadržaja hotela Minerva“.</w:t>
      </w:r>
    </w:p>
    <w:p w:rsidR="007C37F0" w:rsidRDefault="00BF0EB0" w:rsidP="00FD1901">
      <w:pPr>
        <w:jc w:val="both"/>
      </w:pPr>
      <w:r>
        <w:t>Istodobno je evidentirano smanjenje pomoći iz EU fondova za financiranje plaća pripravnika medicinske struke, što je posljedica manjeg broja pripravnika koji se financiraju iz navedenih sredstava, smanjenje kapitalnih pomoći iz proračuna koji nam nije nadležan te sredstva za podmirenje dobavljača lijekova i potrošnog medicinskog materijala od strane HZZO-a.</w:t>
      </w:r>
    </w:p>
    <w:p w:rsidR="007C37F0" w:rsidRDefault="007C37F0" w:rsidP="00FD1901">
      <w:pPr>
        <w:jc w:val="both"/>
      </w:pPr>
    </w:p>
    <w:p w:rsidR="007C37F0" w:rsidRDefault="00BF0EB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634</w:t>
            </w:r>
          </w:p>
        </w:tc>
        <w:tc>
          <w:tcPr>
            <w:tcW w:w="3180" w:type="dxa"/>
            <w:tcMar>
              <w:top w:w="0" w:type="dxa"/>
              <w:bottom w:w="0" w:type="dxa"/>
            </w:tcMar>
            <w:vAlign w:val="center"/>
          </w:tcPr>
          <w:p w:rsidR="007C37F0" w:rsidRDefault="00BF0EB0">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7C37F0" w:rsidRDefault="00BF0EB0">
            <w:pPr>
              <w:keepNext/>
              <w:keepLines/>
              <w:spacing w:after="0" w:line="240" w:lineRule="auto"/>
            </w:pPr>
            <w:r>
              <w:rPr>
                <w:sz w:val="18"/>
              </w:rPr>
              <w:t>634</w:t>
            </w:r>
          </w:p>
        </w:tc>
        <w:tc>
          <w:tcPr>
            <w:tcW w:w="1860" w:type="dxa"/>
            <w:tcMar>
              <w:top w:w="0" w:type="dxa"/>
              <w:bottom w:w="0" w:type="dxa"/>
            </w:tcMar>
            <w:vAlign w:val="center"/>
          </w:tcPr>
          <w:p w:rsidR="007C37F0" w:rsidRDefault="00BF0EB0">
            <w:pPr>
              <w:keepNext/>
              <w:keepLines/>
              <w:spacing w:after="0" w:line="240" w:lineRule="auto"/>
              <w:jc w:val="right"/>
            </w:pPr>
            <w:r>
              <w:rPr>
                <w:sz w:val="18"/>
              </w:rPr>
              <w:t>172.188,99</w:t>
            </w:r>
          </w:p>
        </w:tc>
        <w:tc>
          <w:tcPr>
            <w:tcW w:w="1860" w:type="dxa"/>
            <w:tcMar>
              <w:top w:w="0" w:type="dxa"/>
              <w:bottom w:w="0" w:type="dxa"/>
            </w:tcMar>
            <w:vAlign w:val="center"/>
          </w:tcPr>
          <w:p w:rsidR="007C37F0" w:rsidRDefault="00BF0EB0">
            <w:pPr>
              <w:keepNext/>
              <w:keepLines/>
              <w:spacing w:after="0" w:line="240" w:lineRule="auto"/>
              <w:jc w:val="right"/>
            </w:pPr>
            <w:r>
              <w:rPr>
                <w:sz w:val="18"/>
              </w:rPr>
              <w:t>91.489,98</w:t>
            </w:r>
          </w:p>
        </w:tc>
        <w:tc>
          <w:tcPr>
            <w:tcW w:w="700" w:type="dxa"/>
            <w:tcMar>
              <w:top w:w="0" w:type="dxa"/>
              <w:bottom w:w="0" w:type="dxa"/>
            </w:tcMar>
            <w:vAlign w:val="center"/>
          </w:tcPr>
          <w:p w:rsidR="007C37F0" w:rsidRDefault="00BF0EB0">
            <w:pPr>
              <w:keepNext/>
              <w:keepLines/>
              <w:spacing w:after="0" w:line="240" w:lineRule="auto"/>
              <w:jc w:val="right"/>
            </w:pPr>
            <w:r>
              <w:rPr>
                <w:sz w:val="18"/>
              </w:rPr>
              <w:t>53,1</w:t>
            </w:r>
          </w:p>
        </w:tc>
      </w:tr>
    </w:tbl>
    <w:p w:rsidR="007C37F0" w:rsidRDefault="007C37F0">
      <w:pPr>
        <w:spacing w:after="0"/>
      </w:pPr>
    </w:p>
    <w:p w:rsidR="007C37F0" w:rsidRDefault="00BF0EB0" w:rsidP="00FD1901">
      <w:pPr>
        <w:jc w:val="both"/>
      </w:pPr>
      <w:r>
        <w:t>U odnosu na prethodnu 2024. godinu evidentirano je smanjenje u iznosu od 46,90%, odnosno 80.699,01 eura. Tijekom poslovne 2025. godine zabilježeno je povećanje pomoći Hrvatskog zavoda za zapošljavanje za financiranje plaća pripravnika zdravstvene struke, pri čemu je broj pripravnika čije su plaće financirane iz navedenog izvora povećan za 53,06%. Istodobno je evidentirano znatno smanjenje tekućih pomoći Hrvatskog zavoda za zdravstveno osiguranje za podmirenje obveza prema dobavljačima lijekova i potrošnog medicinskog materijala, i to za 48,92%. Nadalje, u poslovnoj 2024. godini na istoj poziciji evidentirana je kapitalna pomoć Fonda za zaštitu okoliša i energetsku učinkovitost, dok u poslovnoj 2025. godini iz navedenog izvora nije ostvarena pomoć.</w:t>
      </w:r>
    </w:p>
    <w:p w:rsidR="007C37F0" w:rsidRDefault="007C37F0"/>
    <w:p w:rsidR="007C37F0" w:rsidRDefault="00BF0EB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636</w:t>
            </w:r>
          </w:p>
        </w:tc>
        <w:tc>
          <w:tcPr>
            <w:tcW w:w="3180" w:type="dxa"/>
            <w:tcMar>
              <w:top w:w="0" w:type="dxa"/>
              <w:bottom w:w="0" w:type="dxa"/>
            </w:tcMar>
            <w:vAlign w:val="center"/>
          </w:tcPr>
          <w:p w:rsidR="007C37F0" w:rsidRDefault="00BF0EB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7C37F0" w:rsidRDefault="00BF0EB0">
            <w:pPr>
              <w:keepNext/>
              <w:keepLines/>
              <w:spacing w:after="0" w:line="240" w:lineRule="auto"/>
            </w:pPr>
            <w:r>
              <w:rPr>
                <w:sz w:val="18"/>
              </w:rPr>
              <w:t>636</w:t>
            </w:r>
          </w:p>
        </w:tc>
        <w:tc>
          <w:tcPr>
            <w:tcW w:w="1860" w:type="dxa"/>
            <w:tcMar>
              <w:top w:w="0" w:type="dxa"/>
              <w:bottom w:w="0" w:type="dxa"/>
            </w:tcMar>
            <w:vAlign w:val="center"/>
          </w:tcPr>
          <w:p w:rsidR="007C37F0" w:rsidRDefault="00BF0EB0">
            <w:pPr>
              <w:keepNext/>
              <w:keepLines/>
              <w:spacing w:after="0" w:line="240" w:lineRule="auto"/>
              <w:jc w:val="right"/>
            </w:pPr>
            <w:r>
              <w:rPr>
                <w:sz w:val="18"/>
              </w:rPr>
              <w:t>186.786,60</w:t>
            </w:r>
          </w:p>
        </w:tc>
        <w:tc>
          <w:tcPr>
            <w:tcW w:w="1860" w:type="dxa"/>
            <w:tcMar>
              <w:top w:w="0" w:type="dxa"/>
              <w:bottom w:w="0" w:type="dxa"/>
            </w:tcMar>
            <w:vAlign w:val="center"/>
          </w:tcPr>
          <w:p w:rsidR="007C37F0" w:rsidRDefault="00BF0EB0">
            <w:pPr>
              <w:keepNext/>
              <w:keepLines/>
              <w:spacing w:after="0" w:line="240" w:lineRule="auto"/>
              <w:jc w:val="right"/>
            </w:pPr>
            <w:r>
              <w:rPr>
                <w:sz w:val="18"/>
              </w:rPr>
              <w:t>275.442,47</w:t>
            </w:r>
          </w:p>
        </w:tc>
        <w:tc>
          <w:tcPr>
            <w:tcW w:w="700" w:type="dxa"/>
            <w:tcMar>
              <w:top w:w="0" w:type="dxa"/>
              <w:bottom w:w="0" w:type="dxa"/>
            </w:tcMar>
            <w:vAlign w:val="center"/>
          </w:tcPr>
          <w:p w:rsidR="007C37F0" w:rsidRDefault="00BF0EB0">
            <w:pPr>
              <w:keepNext/>
              <w:keepLines/>
              <w:spacing w:after="0" w:line="240" w:lineRule="auto"/>
              <w:jc w:val="right"/>
            </w:pPr>
            <w:r>
              <w:rPr>
                <w:sz w:val="18"/>
              </w:rPr>
              <w:t>147,5</w:t>
            </w:r>
          </w:p>
        </w:tc>
      </w:tr>
    </w:tbl>
    <w:p w:rsidR="007C37F0" w:rsidRDefault="007C37F0">
      <w:pPr>
        <w:spacing w:after="0"/>
      </w:pPr>
    </w:p>
    <w:p w:rsidR="007C37F0" w:rsidRDefault="00BF0EB0">
      <w:r>
        <w:t>Evidentirano povećanje za 47,50% ili za 88.655,87 eura u odnosu na prethodnu 2024. godinu. </w:t>
      </w:r>
    </w:p>
    <w:p w:rsidR="007C37F0" w:rsidRDefault="007C37F0"/>
    <w:p w:rsidR="007C37F0" w:rsidRDefault="00BF0EB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6361</w:t>
            </w:r>
          </w:p>
        </w:tc>
        <w:tc>
          <w:tcPr>
            <w:tcW w:w="3180" w:type="dxa"/>
            <w:tcMar>
              <w:top w:w="0" w:type="dxa"/>
              <w:bottom w:w="0" w:type="dxa"/>
            </w:tcMar>
            <w:vAlign w:val="center"/>
          </w:tcPr>
          <w:p w:rsidR="007C37F0" w:rsidRDefault="00BF0EB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7C37F0" w:rsidRDefault="00BF0EB0">
            <w:pPr>
              <w:keepNext/>
              <w:keepLines/>
              <w:spacing w:after="0" w:line="240" w:lineRule="auto"/>
            </w:pPr>
            <w:r>
              <w:rPr>
                <w:sz w:val="18"/>
              </w:rPr>
              <w:t>6361</w:t>
            </w:r>
          </w:p>
        </w:tc>
        <w:tc>
          <w:tcPr>
            <w:tcW w:w="1860" w:type="dxa"/>
            <w:tcMar>
              <w:top w:w="0" w:type="dxa"/>
              <w:bottom w:w="0" w:type="dxa"/>
            </w:tcMar>
            <w:vAlign w:val="center"/>
          </w:tcPr>
          <w:p w:rsidR="007C37F0" w:rsidRDefault="00BF0EB0">
            <w:pPr>
              <w:keepNext/>
              <w:keepLines/>
              <w:spacing w:after="0" w:line="240" w:lineRule="auto"/>
              <w:jc w:val="right"/>
            </w:pPr>
            <w:r>
              <w:rPr>
                <w:sz w:val="18"/>
              </w:rPr>
              <w:t>81.880,02</w:t>
            </w:r>
          </w:p>
        </w:tc>
        <w:tc>
          <w:tcPr>
            <w:tcW w:w="1860" w:type="dxa"/>
            <w:tcMar>
              <w:top w:w="0" w:type="dxa"/>
              <w:bottom w:w="0" w:type="dxa"/>
            </w:tcMar>
            <w:vAlign w:val="center"/>
          </w:tcPr>
          <w:p w:rsidR="007C37F0" w:rsidRDefault="00BF0EB0">
            <w:pPr>
              <w:keepNext/>
              <w:keepLines/>
              <w:spacing w:after="0" w:line="240" w:lineRule="auto"/>
              <w:jc w:val="right"/>
            </w:pPr>
            <w:r>
              <w:rPr>
                <w:sz w:val="18"/>
              </w:rPr>
              <w:t>216.286,22</w:t>
            </w:r>
          </w:p>
        </w:tc>
        <w:tc>
          <w:tcPr>
            <w:tcW w:w="700" w:type="dxa"/>
            <w:tcMar>
              <w:top w:w="0" w:type="dxa"/>
              <w:bottom w:w="0" w:type="dxa"/>
            </w:tcMar>
            <w:vAlign w:val="center"/>
          </w:tcPr>
          <w:p w:rsidR="007C37F0" w:rsidRDefault="00BF0EB0">
            <w:pPr>
              <w:keepNext/>
              <w:keepLines/>
              <w:spacing w:after="0" w:line="240" w:lineRule="auto"/>
              <w:jc w:val="right"/>
            </w:pPr>
            <w:r>
              <w:rPr>
                <w:sz w:val="18"/>
              </w:rPr>
              <w:t>264,2</w:t>
            </w:r>
          </w:p>
        </w:tc>
      </w:tr>
    </w:tbl>
    <w:p w:rsidR="007C37F0" w:rsidRDefault="007C37F0">
      <w:pPr>
        <w:spacing w:after="0"/>
      </w:pPr>
    </w:p>
    <w:p w:rsidR="007C37F0" w:rsidRDefault="00BF0EB0" w:rsidP="00FD1901">
      <w:pPr>
        <w:jc w:val="both"/>
      </w:pPr>
      <w:r>
        <w:t>Evidentirano povećanje za 164,20% ili za 134.406,20 eura u odnosu na prethodnu godinu. Unutar navedene skupine evidentirana su sredstva iz Državnog proračuna za refundaciju troškova dežurstva liječnice na specijalizaciji u iznosu od 5.829,22 eura, što predstavlja povećanje od 50,66% u odnosu na isto razdoblje prethodne godine. Nadalje, evidentirane su tekuće pomoći Ministarstva zdravstva za podmirenje dospjelih obveza prema dobavljačima lijekova i potrošnog medicinskog materijala u iznosu od 210.457,00 eura, što je povećanje od 169,77% u odnosu na prethodnu godinu.</w:t>
      </w:r>
    </w:p>
    <w:p w:rsidR="007C37F0" w:rsidRDefault="007C37F0" w:rsidP="00FD1901">
      <w:pPr>
        <w:jc w:val="both"/>
      </w:pPr>
    </w:p>
    <w:p w:rsidR="007C37F0" w:rsidRDefault="00BF0EB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6362</w:t>
            </w:r>
          </w:p>
        </w:tc>
        <w:tc>
          <w:tcPr>
            <w:tcW w:w="3180" w:type="dxa"/>
            <w:tcMar>
              <w:top w:w="0" w:type="dxa"/>
              <w:bottom w:w="0" w:type="dxa"/>
            </w:tcMar>
            <w:vAlign w:val="center"/>
          </w:tcPr>
          <w:p w:rsidR="007C37F0" w:rsidRDefault="00BF0EB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7C37F0" w:rsidRDefault="00BF0EB0">
            <w:pPr>
              <w:keepNext/>
              <w:keepLines/>
              <w:spacing w:after="0" w:line="240" w:lineRule="auto"/>
            </w:pPr>
            <w:r>
              <w:rPr>
                <w:sz w:val="18"/>
              </w:rPr>
              <w:t>6362</w:t>
            </w:r>
          </w:p>
        </w:tc>
        <w:tc>
          <w:tcPr>
            <w:tcW w:w="1860" w:type="dxa"/>
            <w:tcMar>
              <w:top w:w="0" w:type="dxa"/>
              <w:bottom w:w="0" w:type="dxa"/>
            </w:tcMar>
            <w:vAlign w:val="center"/>
          </w:tcPr>
          <w:p w:rsidR="007C37F0" w:rsidRDefault="00BF0EB0">
            <w:pPr>
              <w:keepNext/>
              <w:keepLines/>
              <w:spacing w:after="0" w:line="240" w:lineRule="auto"/>
              <w:jc w:val="right"/>
            </w:pPr>
            <w:r>
              <w:rPr>
                <w:sz w:val="18"/>
              </w:rPr>
              <w:t>104.906,58</w:t>
            </w:r>
          </w:p>
        </w:tc>
        <w:tc>
          <w:tcPr>
            <w:tcW w:w="1860" w:type="dxa"/>
            <w:tcMar>
              <w:top w:w="0" w:type="dxa"/>
              <w:bottom w:w="0" w:type="dxa"/>
            </w:tcMar>
            <w:vAlign w:val="center"/>
          </w:tcPr>
          <w:p w:rsidR="007C37F0" w:rsidRDefault="00BF0EB0">
            <w:pPr>
              <w:keepNext/>
              <w:keepLines/>
              <w:spacing w:after="0" w:line="240" w:lineRule="auto"/>
              <w:jc w:val="right"/>
            </w:pPr>
            <w:r>
              <w:rPr>
                <w:sz w:val="18"/>
              </w:rPr>
              <w:t>59.156,25</w:t>
            </w:r>
          </w:p>
        </w:tc>
        <w:tc>
          <w:tcPr>
            <w:tcW w:w="700" w:type="dxa"/>
            <w:tcMar>
              <w:top w:w="0" w:type="dxa"/>
              <w:bottom w:w="0" w:type="dxa"/>
            </w:tcMar>
            <w:vAlign w:val="center"/>
          </w:tcPr>
          <w:p w:rsidR="007C37F0" w:rsidRDefault="00BF0EB0">
            <w:pPr>
              <w:keepNext/>
              <w:keepLines/>
              <w:spacing w:after="0" w:line="240" w:lineRule="auto"/>
              <w:jc w:val="right"/>
            </w:pPr>
            <w:r>
              <w:rPr>
                <w:sz w:val="18"/>
              </w:rPr>
              <w:t>56,4</w:t>
            </w:r>
          </w:p>
        </w:tc>
      </w:tr>
    </w:tbl>
    <w:p w:rsidR="007C37F0" w:rsidRDefault="007C37F0">
      <w:pPr>
        <w:spacing w:after="0"/>
      </w:pPr>
    </w:p>
    <w:p w:rsidR="007C37F0" w:rsidRDefault="00BF0EB0" w:rsidP="00FD1901">
      <w:pPr>
        <w:jc w:val="both"/>
      </w:pPr>
      <w:r>
        <w:t>U poslovnoj 2025. godini evidentirano je smanjenje u odnosu na 2024. godinu za 43,60%, odnosno za 45.750,33 eura. U prethodnoj poslovnoj godini evidentirane su kapitalne pomoći Ministarstva zdravstva na temelju sklopljenog Ugovora o dodjeli potpore male vrijednosti za projekt „Unaprjeđenje i podizanje kvalitete pružanja zdravstvenih usluga u zdravstvenom turizmu“, namijenjene nabavi medicinske opreme, kao i kapitalne pomoći Ministarstva kulture za troškove izrade projektne dokumentacije za izradu elaborata ocjene postojećeg stanja nosive konstrukcije objekta Stari grad (Kaštel zagrebačkog Kaptola) te za izradu projekta konstruktivne obnove navedenog objekta.</w:t>
      </w:r>
    </w:p>
    <w:p w:rsidR="007C37F0" w:rsidRDefault="00BF0EB0">
      <w:r>
        <w:t>U poslovnoj 2025. godini evidentirana je kapitalna pomoć Ministarstva kulture za sanaciju krovišta Kaštela zagrebačkog Kaptola u iznosu od 59.156,25 eura.</w:t>
      </w:r>
    </w:p>
    <w:p w:rsidR="007C37F0" w:rsidRDefault="007C37F0"/>
    <w:p w:rsidR="007C37F0" w:rsidRDefault="00BF0EB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638</w:t>
            </w:r>
          </w:p>
        </w:tc>
        <w:tc>
          <w:tcPr>
            <w:tcW w:w="3180" w:type="dxa"/>
            <w:tcMar>
              <w:top w:w="0" w:type="dxa"/>
              <w:bottom w:w="0" w:type="dxa"/>
            </w:tcMar>
            <w:vAlign w:val="center"/>
          </w:tcPr>
          <w:p w:rsidR="007C37F0" w:rsidRDefault="00BF0EB0">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7C37F0" w:rsidRDefault="00BF0EB0">
            <w:pPr>
              <w:keepNext/>
              <w:keepLines/>
              <w:spacing w:after="0" w:line="240" w:lineRule="auto"/>
            </w:pPr>
            <w:r>
              <w:rPr>
                <w:sz w:val="18"/>
              </w:rPr>
              <w:t>638</w:t>
            </w:r>
          </w:p>
        </w:tc>
        <w:tc>
          <w:tcPr>
            <w:tcW w:w="1860" w:type="dxa"/>
            <w:tcMar>
              <w:top w:w="0" w:type="dxa"/>
              <w:bottom w:w="0" w:type="dxa"/>
            </w:tcMar>
            <w:vAlign w:val="center"/>
          </w:tcPr>
          <w:p w:rsidR="007C37F0" w:rsidRDefault="00BF0EB0">
            <w:pPr>
              <w:keepNext/>
              <w:keepLines/>
              <w:spacing w:after="0" w:line="240" w:lineRule="auto"/>
              <w:jc w:val="right"/>
            </w:pPr>
            <w:r>
              <w:rPr>
                <w:sz w:val="18"/>
              </w:rPr>
              <w:t>253.999,74</w:t>
            </w:r>
          </w:p>
        </w:tc>
        <w:tc>
          <w:tcPr>
            <w:tcW w:w="1860" w:type="dxa"/>
            <w:tcMar>
              <w:top w:w="0" w:type="dxa"/>
              <w:bottom w:w="0" w:type="dxa"/>
            </w:tcMar>
            <w:vAlign w:val="center"/>
          </w:tcPr>
          <w:p w:rsidR="007C37F0" w:rsidRDefault="00BF0EB0">
            <w:pPr>
              <w:keepNext/>
              <w:keepLines/>
              <w:spacing w:after="0" w:line="240" w:lineRule="auto"/>
              <w:jc w:val="right"/>
            </w:pPr>
            <w:r>
              <w:rPr>
                <w:sz w:val="18"/>
              </w:rPr>
              <w:t>8.708.908,60</w:t>
            </w:r>
          </w:p>
        </w:tc>
        <w:tc>
          <w:tcPr>
            <w:tcW w:w="700" w:type="dxa"/>
            <w:tcMar>
              <w:top w:w="0" w:type="dxa"/>
              <w:bottom w:w="0" w:type="dxa"/>
            </w:tcMar>
            <w:vAlign w:val="center"/>
          </w:tcPr>
          <w:p w:rsidR="007C37F0" w:rsidRDefault="00BF0EB0">
            <w:pPr>
              <w:keepNext/>
              <w:keepLines/>
              <w:spacing w:after="0" w:line="240" w:lineRule="auto"/>
              <w:jc w:val="right"/>
            </w:pPr>
            <w:r>
              <w:rPr>
                <w:sz w:val="18"/>
              </w:rPr>
              <w:t>3428,7</w:t>
            </w:r>
          </w:p>
        </w:tc>
      </w:tr>
    </w:tbl>
    <w:p w:rsidR="007C37F0" w:rsidRDefault="007C37F0">
      <w:pPr>
        <w:spacing w:after="0"/>
      </w:pPr>
    </w:p>
    <w:p w:rsidR="007C37F0" w:rsidRDefault="00BF0EB0">
      <w:r>
        <w:t>Evidentirano je povećanje za 3.328,70% ili za 8.454.908,86 eura u odnosu na prethodnu 2024. godinu. </w:t>
      </w:r>
    </w:p>
    <w:p w:rsidR="007C37F0" w:rsidRDefault="007C37F0"/>
    <w:p w:rsidR="007C37F0" w:rsidRDefault="00BF0EB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6381</w:t>
            </w:r>
          </w:p>
        </w:tc>
        <w:tc>
          <w:tcPr>
            <w:tcW w:w="3180" w:type="dxa"/>
            <w:tcMar>
              <w:top w:w="0" w:type="dxa"/>
              <w:bottom w:w="0" w:type="dxa"/>
            </w:tcMar>
            <w:vAlign w:val="center"/>
          </w:tcPr>
          <w:p w:rsidR="007C37F0" w:rsidRDefault="00BF0EB0">
            <w:pPr>
              <w:keepNext/>
              <w:keepLines/>
              <w:spacing w:after="0" w:line="240" w:lineRule="auto"/>
            </w:pPr>
            <w:r>
              <w:rPr>
                <w:sz w:val="18"/>
              </w:rPr>
              <w:t>Tekuće pomoći temeljem prijenosa EU sredstava</w:t>
            </w:r>
          </w:p>
        </w:tc>
        <w:tc>
          <w:tcPr>
            <w:tcW w:w="700" w:type="dxa"/>
            <w:tcMar>
              <w:top w:w="0" w:type="dxa"/>
              <w:bottom w:w="0" w:type="dxa"/>
            </w:tcMar>
            <w:vAlign w:val="center"/>
          </w:tcPr>
          <w:p w:rsidR="007C37F0" w:rsidRDefault="00BF0EB0">
            <w:pPr>
              <w:keepNext/>
              <w:keepLines/>
              <w:spacing w:after="0" w:line="240" w:lineRule="auto"/>
            </w:pPr>
            <w:r>
              <w:rPr>
                <w:sz w:val="18"/>
              </w:rPr>
              <w:t>6381</w:t>
            </w:r>
          </w:p>
        </w:tc>
        <w:tc>
          <w:tcPr>
            <w:tcW w:w="1860" w:type="dxa"/>
            <w:tcMar>
              <w:top w:w="0" w:type="dxa"/>
              <w:bottom w:w="0" w:type="dxa"/>
            </w:tcMar>
            <w:vAlign w:val="center"/>
          </w:tcPr>
          <w:p w:rsidR="007C37F0" w:rsidRDefault="00BF0EB0">
            <w:pPr>
              <w:keepNext/>
              <w:keepLines/>
              <w:spacing w:after="0" w:line="240" w:lineRule="auto"/>
              <w:jc w:val="right"/>
            </w:pPr>
            <w:r>
              <w:rPr>
                <w:sz w:val="18"/>
              </w:rPr>
              <w:t>233.092,42</w:t>
            </w:r>
          </w:p>
        </w:tc>
        <w:tc>
          <w:tcPr>
            <w:tcW w:w="1860" w:type="dxa"/>
            <w:tcMar>
              <w:top w:w="0" w:type="dxa"/>
              <w:bottom w:w="0" w:type="dxa"/>
            </w:tcMar>
            <w:vAlign w:val="center"/>
          </w:tcPr>
          <w:p w:rsidR="007C37F0" w:rsidRDefault="00BF0EB0">
            <w:pPr>
              <w:keepNext/>
              <w:keepLines/>
              <w:spacing w:after="0" w:line="240" w:lineRule="auto"/>
              <w:jc w:val="right"/>
            </w:pPr>
            <w:r>
              <w:rPr>
                <w:sz w:val="18"/>
              </w:rPr>
              <w:t>121.850,87</w:t>
            </w:r>
          </w:p>
        </w:tc>
        <w:tc>
          <w:tcPr>
            <w:tcW w:w="700" w:type="dxa"/>
            <w:tcMar>
              <w:top w:w="0" w:type="dxa"/>
              <w:bottom w:w="0" w:type="dxa"/>
            </w:tcMar>
            <w:vAlign w:val="center"/>
          </w:tcPr>
          <w:p w:rsidR="007C37F0" w:rsidRDefault="00BF0EB0">
            <w:pPr>
              <w:keepNext/>
              <w:keepLines/>
              <w:spacing w:after="0" w:line="240" w:lineRule="auto"/>
              <w:jc w:val="right"/>
            </w:pPr>
            <w:r>
              <w:rPr>
                <w:sz w:val="18"/>
              </w:rPr>
              <w:t>52,3</w:t>
            </w:r>
          </w:p>
        </w:tc>
      </w:tr>
    </w:tbl>
    <w:p w:rsidR="007C37F0" w:rsidRDefault="007C37F0">
      <w:pPr>
        <w:spacing w:after="0"/>
      </w:pPr>
    </w:p>
    <w:p w:rsidR="007C37F0" w:rsidRDefault="00BF0EB0" w:rsidP="00FD1901">
      <w:pPr>
        <w:jc w:val="both"/>
      </w:pPr>
      <w:r>
        <w:t>Evidentirano smanjenje za 47,70% ili za 111.241,55 eura, a odnosi se na sredstva za financiranje plaća pripravnika medicinske struke (prethodne godine bilo više pripravnika kojima je plaća financirana iz navedenog izvora).</w:t>
      </w:r>
    </w:p>
    <w:p w:rsidR="007C37F0" w:rsidRDefault="007C37F0"/>
    <w:p w:rsidR="007C37F0" w:rsidRDefault="00BF0EB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6382</w:t>
            </w:r>
          </w:p>
        </w:tc>
        <w:tc>
          <w:tcPr>
            <w:tcW w:w="3180" w:type="dxa"/>
            <w:tcMar>
              <w:top w:w="0" w:type="dxa"/>
              <w:bottom w:w="0" w:type="dxa"/>
            </w:tcMar>
            <w:vAlign w:val="center"/>
          </w:tcPr>
          <w:p w:rsidR="007C37F0" w:rsidRDefault="00BF0EB0">
            <w:pPr>
              <w:keepNext/>
              <w:keepLines/>
              <w:spacing w:after="0" w:line="240" w:lineRule="auto"/>
            </w:pPr>
            <w:r>
              <w:rPr>
                <w:sz w:val="18"/>
              </w:rPr>
              <w:t>Kapitalne pomoći temeljem prijenosa EU sredstava</w:t>
            </w:r>
          </w:p>
        </w:tc>
        <w:tc>
          <w:tcPr>
            <w:tcW w:w="700" w:type="dxa"/>
            <w:tcMar>
              <w:top w:w="0" w:type="dxa"/>
              <w:bottom w:w="0" w:type="dxa"/>
            </w:tcMar>
            <w:vAlign w:val="center"/>
          </w:tcPr>
          <w:p w:rsidR="007C37F0" w:rsidRDefault="00BF0EB0">
            <w:pPr>
              <w:keepNext/>
              <w:keepLines/>
              <w:spacing w:after="0" w:line="240" w:lineRule="auto"/>
            </w:pPr>
            <w:r>
              <w:rPr>
                <w:sz w:val="18"/>
              </w:rPr>
              <w:t>6382</w:t>
            </w:r>
          </w:p>
        </w:tc>
        <w:tc>
          <w:tcPr>
            <w:tcW w:w="1860" w:type="dxa"/>
            <w:tcMar>
              <w:top w:w="0" w:type="dxa"/>
              <w:bottom w:w="0" w:type="dxa"/>
            </w:tcMar>
            <w:vAlign w:val="center"/>
          </w:tcPr>
          <w:p w:rsidR="007C37F0" w:rsidRDefault="00BF0EB0">
            <w:pPr>
              <w:keepNext/>
              <w:keepLines/>
              <w:spacing w:after="0" w:line="240" w:lineRule="auto"/>
              <w:jc w:val="right"/>
            </w:pPr>
            <w:r>
              <w:rPr>
                <w:sz w:val="18"/>
              </w:rPr>
              <w:t>20.907,32</w:t>
            </w:r>
          </w:p>
        </w:tc>
        <w:tc>
          <w:tcPr>
            <w:tcW w:w="1860" w:type="dxa"/>
            <w:tcMar>
              <w:top w:w="0" w:type="dxa"/>
              <w:bottom w:w="0" w:type="dxa"/>
            </w:tcMar>
            <w:vAlign w:val="center"/>
          </w:tcPr>
          <w:p w:rsidR="007C37F0" w:rsidRDefault="00BF0EB0">
            <w:pPr>
              <w:keepNext/>
              <w:keepLines/>
              <w:spacing w:after="0" w:line="240" w:lineRule="auto"/>
              <w:jc w:val="right"/>
            </w:pPr>
            <w:r>
              <w:rPr>
                <w:sz w:val="18"/>
              </w:rPr>
              <w:t>8.587.057,73</w:t>
            </w:r>
          </w:p>
        </w:tc>
        <w:tc>
          <w:tcPr>
            <w:tcW w:w="700" w:type="dxa"/>
            <w:tcMar>
              <w:top w:w="0" w:type="dxa"/>
              <w:bottom w:w="0" w:type="dxa"/>
            </w:tcMar>
            <w:vAlign w:val="center"/>
          </w:tcPr>
          <w:p w:rsidR="007C37F0" w:rsidRDefault="00BF0EB0">
            <w:pPr>
              <w:keepNext/>
              <w:keepLines/>
              <w:spacing w:after="0" w:line="240" w:lineRule="auto"/>
              <w:jc w:val="right"/>
            </w:pPr>
            <w:r>
              <w:rPr>
                <w:sz w:val="18"/>
              </w:rPr>
              <w:t>&gt;&gt;100</w:t>
            </w:r>
          </w:p>
        </w:tc>
      </w:tr>
    </w:tbl>
    <w:p w:rsidR="007C37F0" w:rsidRDefault="007C37F0">
      <w:pPr>
        <w:spacing w:after="0"/>
      </w:pPr>
    </w:p>
    <w:p w:rsidR="007C37F0" w:rsidRDefault="00BF0EB0" w:rsidP="00FD1901">
      <w:pPr>
        <w:jc w:val="both"/>
      </w:pPr>
      <w:r>
        <w:t>Evidentirano je povećanje u odnosu na prethodnu 2024. godinu za 41.072,01%, odnosno za 8.566.150,41 eura. U poslovnoj 2024. godini evidentirane su pomoći temeljem prijenosa povrata u iznosu od 4.764,68 eura, koji se odnosi na povrat prvotno uskraćenih sredstava Europske unije temeljem Odluke o nepravilnosti u postupku javne nabave stručnog nadzora, kao i kapitalne pomoći iz fondova Europske unije za projekt „Unapređenje kvalitete smještaja i sadržaja hotela Minerva“ u iznosu od 16.142,64 eura.</w:t>
      </w:r>
    </w:p>
    <w:p w:rsidR="007C37F0" w:rsidRDefault="00BF0EB0">
      <w:r>
        <w:t>U poslovnoj 2025. godini evidentirani prihodi odnose se isključivo na doznačena sredstva iz fondova Europske unije za sufinanciranje projekta „Unapređenje kvalitete smještaja i sadržaja hotela Minerva“ u iznosu od 8.587.057,73 eura.</w:t>
      </w:r>
    </w:p>
    <w:p w:rsidR="007C37F0" w:rsidRDefault="007C37F0"/>
    <w:p w:rsidR="007C37F0" w:rsidRDefault="00BF0EB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64</w:t>
            </w:r>
          </w:p>
        </w:tc>
        <w:tc>
          <w:tcPr>
            <w:tcW w:w="3180" w:type="dxa"/>
            <w:tcMar>
              <w:top w:w="0" w:type="dxa"/>
              <w:bottom w:w="0" w:type="dxa"/>
            </w:tcMar>
            <w:vAlign w:val="center"/>
          </w:tcPr>
          <w:p w:rsidR="007C37F0" w:rsidRDefault="00BF0EB0">
            <w:pPr>
              <w:keepNext/>
              <w:keepLines/>
              <w:spacing w:after="0" w:line="240" w:lineRule="auto"/>
            </w:pPr>
            <w:r>
              <w:rPr>
                <w:sz w:val="18"/>
              </w:rPr>
              <w:t>Prihodi od imovine (šifre 641+642+643)</w:t>
            </w:r>
          </w:p>
        </w:tc>
        <w:tc>
          <w:tcPr>
            <w:tcW w:w="700" w:type="dxa"/>
            <w:tcMar>
              <w:top w:w="0" w:type="dxa"/>
              <w:bottom w:w="0" w:type="dxa"/>
            </w:tcMar>
            <w:vAlign w:val="center"/>
          </w:tcPr>
          <w:p w:rsidR="007C37F0" w:rsidRDefault="00BF0EB0">
            <w:pPr>
              <w:keepNext/>
              <w:keepLines/>
              <w:spacing w:after="0" w:line="240" w:lineRule="auto"/>
            </w:pPr>
            <w:r>
              <w:rPr>
                <w:sz w:val="18"/>
              </w:rPr>
              <w:t>64</w:t>
            </w:r>
          </w:p>
        </w:tc>
        <w:tc>
          <w:tcPr>
            <w:tcW w:w="1860" w:type="dxa"/>
            <w:tcMar>
              <w:top w:w="0" w:type="dxa"/>
              <w:bottom w:w="0" w:type="dxa"/>
            </w:tcMar>
            <w:vAlign w:val="center"/>
          </w:tcPr>
          <w:p w:rsidR="007C37F0" w:rsidRDefault="00BF0EB0">
            <w:pPr>
              <w:keepNext/>
              <w:keepLines/>
              <w:spacing w:after="0" w:line="240" w:lineRule="auto"/>
              <w:jc w:val="right"/>
            </w:pPr>
            <w:r>
              <w:rPr>
                <w:sz w:val="18"/>
              </w:rPr>
              <w:t>3.334,21</w:t>
            </w:r>
          </w:p>
        </w:tc>
        <w:tc>
          <w:tcPr>
            <w:tcW w:w="1860" w:type="dxa"/>
            <w:tcMar>
              <w:top w:w="0" w:type="dxa"/>
              <w:bottom w:w="0" w:type="dxa"/>
            </w:tcMar>
            <w:vAlign w:val="center"/>
          </w:tcPr>
          <w:p w:rsidR="007C37F0" w:rsidRDefault="00BF0EB0">
            <w:pPr>
              <w:keepNext/>
              <w:keepLines/>
              <w:spacing w:after="0" w:line="240" w:lineRule="auto"/>
              <w:jc w:val="right"/>
            </w:pPr>
            <w:r>
              <w:rPr>
                <w:sz w:val="18"/>
              </w:rPr>
              <w:t>4.768,06</w:t>
            </w:r>
          </w:p>
        </w:tc>
        <w:tc>
          <w:tcPr>
            <w:tcW w:w="700" w:type="dxa"/>
            <w:tcMar>
              <w:top w:w="0" w:type="dxa"/>
              <w:bottom w:w="0" w:type="dxa"/>
            </w:tcMar>
            <w:vAlign w:val="center"/>
          </w:tcPr>
          <w:p w:rsidR="007C37F0" w:rsidRDefault="00BF0EB0">
            <w:pPr>
              <w:keepNext/>
              <w:keepLines/>
              <w:spacing w:after="0" w:line="240" w:lineRule="auto"/>
              <w:jc w:val="right"/>
            </w:pPr>
            <w:r>
              <w:rPr>
                <w:sz w:val="18"/>
              </w:rPr>
              <w:t>143,0</w:t>
            </w:r>
          </w:p>
        </w:tc>
      </w:tr>
    </w:tbl>
    <w:p w:rsidR="007C37F0" w:rsidRDefault="007C37F0">
      <w:pPr>
        <w:spacing w:after="0"/>
      </w:pPr>
    </w:p>
    <w:p w:rsidR="007C37F0" w:rsidRDefault="00BF0EB0" w:rsidP="00FD1901">
      <w:pPr>
        <w:jc w:val="both"/>
      </w:pPr>
      <w:r>
        <w:t>Ostvareni u iznosu 4.768,06 eura, veći su u odnosu na prethodnu 2024. godinu za 43,00 % ili za 1.433,85 eura.</w:t>
      </w:r>
    </w:p>
    <w:p w:rsidR="007C37F0" w:rsidRDefault="007C37F0"/>
    <w:p w:rsidR="007C37F0" w:rsidRDefault="00BF0EB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6413</w:t>
            </w:r>
          </w:p>
        </w:tc>
        <w:tc>
          <w:tcPr>
            <w:tcW w:w="3180" w:type="dxa"/>
            <w:tcMar>
              <w:top w:w="0" w:type="dxa"/>
              <w:bottom w:w="0" w:type="dxa"/>
            </w:tcMar>
            <w:vAlign w:val="center"/>
          </w:tcPr>
          <w:p w:rsidR="007C37F0" w:rsidRDefault="00BF0EB0">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7C37F0" w:rsidRDefault="00BF0EB0">
            <w:pPr>
              <w:keepNext/>
              <w:keepLines/>
              <w:spacing w:after="0" w:line="240" w:lineRule="auto"/>
            </w:pPr>
            <w:r>
              <w:rPr>
                <w:sz w:val="18"/>
              </w:rPr>
              <w:t>6413</w:t>
            </w:r>
          </w:p>
        </w:tc>
        <w:tc>
          <w:tcPr>
            <w:tcW w:w="1860" w:type="dxa"/>
            <w:tcMar>
              <w:top w:w="0" w:type="dxa"/>
              <w:bottom w:w="0" w:type="dxa"/>
            </w:tcMar>
            <w:vAlign w:val="center"/>
          </w:tcPr>
          <w:p w:rsidR="007C37F0" w:rsidRDefault="00BF0EB0">
            <w:pPr>
              <w:keepNext/>
              <w:keepLines/>
              <w:spacing w:after="0" w:line="240" w:lineRule="auto"/>
              <w:jc w:val="right"/>
            </w:pPr>
            <w:r>
              <w:rPr>
                <w:sz w:val="18"/>
              </w:rPr>
              <w:t>3.048,07</w:t>
            </w:r>
          </w:p>
        </w:tc>
        <w:tc>
          <w:tcPr>
            <w:tcW w:w="1860" w:type="dxa"/>
            <w:tcMar>
              <w:top w:w="0" w:type="dxa"/>
              <w:bottom w:w="0" w:type="dxa"/>
            </w:tcMar>
            <w:vAlign w:val="center"/>
          </w:tcPr>
          <w:p w:rsidR="007C37F0" w:rsidRDefault="00BF0EB0">
            <w:pPr>
              <w:keepNext/>
              <w:keepLines/>
              <w:spacing w:after="0" w:line="240" w:lineRule="auto"/>
              <w:jc w:val="right"/>
            </w:pPr>
            <w:r>
              <w:rPr>
                <w:sz w:val="18"/>
              </w:rPr>
              <w:t>4.021,02</w:t>
            </w:r>
          </w:p>
        </w:tc>
        <w:tc>
          <w:tcPr>
            <w:tcW w:w="700" w:type="dxa"/>
            <w:tcMar>
              <w:top w:w="0" w:type="dxa"/>
              <w:bottom w:w="0" w:type="dxa"/>
            </w:tcMar>
            <w:vAlign w:val="center"/>
          </w:tcPr>
          <w:p w:rsidR="007C37F0" w:rsidRDefault="00BF0EB0">
            <w:pPr>
              <w:keepNext/>
              <w:keepLines/>
              <w:spacing w:after="0" w:line="240" w:lineRule="auto"/>
              <w:jc w:val="right"/>
            </w:pPr>
            <w:r>
              <w:rPr>
                <w:sz w:val="18"/>
              </w:rPr>
              <w:t>131,9</w:t>
            </w:r>
          </w:p>
        </w:tc>
      </w:tr>
    </w:tbl>
    <w:p w:rsidR="007C37F0" w:rsidRDefault="007C37F0">
      <w:pPr>
        <w:spacing w:after="0"/>
      </w:pPr>
    </w:p>
    <w:p w:rsidR="007C37F0" w:rsidRDefault="00BF0EB0" w:rsidP="00FD1901">
      <w:pPr>
        <w:jc w:val="both"/>
      </w:pPr>
      <w:r>
        <w:t xml:space="preserve">Naplaćen je veći iznos na ime kamata po žiro računima za 31,90% ili za 972,95 eura  (Bolnica koristi odobreni Cash </w:t>
      </w:r>
      <w:proofErr w:type="spellStart"/>
      <w:r>
        <w:t>pool</w:t>
      </w:r>
      <w:proofErr w:type="spellEnd"/>
      <w:r>
        <w:t xml:space="preserve"> u manjem iznosu nego prethodne godine, te je prihod na ime kamata stoga veći).</w:t>
      </w:r>
    </w:p>
    <w:p w:rsidR="007C37F0" w:rsidRDefault="007C37F0"/>
    <w:p w:rsidR="007C37F0" w:rsidRDefault="00BF0EB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6414</w:t>
            </w:r>
          </w:p>
        </w:tc>
        <w:tc>
          <w:tcPr>
            <w:tcW w:w="3180" w:type="dxa"/>
            <w:tcMar>
              <w:top w:w="0" w:type="dxa"/>
              <w:bottom w:w="0" w:type="dxa"/>
            </w:tcMar>
            <w:vAlign w:val="center"/>
          </w:tcPr>
          <w:p w:rsidR="007C37F0" w:rsidRDefault="00BF0EB0">
            <w:pPr>
              <w:keepNext/>
              <w:keepLines/>
              <w:spacing w:after="0" w:line="240" w:lineRule="auto"/>
            </w:pPr>
            <w:r>
              <w:rPr>
                <w:sz w:val="18"/>
              </w:rPr>
              <w:t>Prihodi od zateznih kamata</w:t>
            </w:r>
          </w:p>
        </w:tc>
        <w:tc>
          <w:tcPr>
            <w:tcW w:w="700" w:type="dxa"/>
            <w:tcMar>
              <w:top w:w="0" w:type="dxa"/>
              <w:bottom w:w="0" w:type="dxa"/>
            </w:tcMar>
            <w:vAlign w:val="center"/>
          </w:tcPr>
          <w:p w:rsidR="007C37F0" w:rsidRDefault="00BF0EB0">
            <w:pPr>
              <w:keepNext/>
              <w:keepLines/>
              <w:spacing w:after="0" w:line="240" w:lineRule="auto"/>
            </w:pPr>
            <w:r>
              <w:rPr>
                <w:sz w:val="18"/>
              </w:rPr>
              <w:t>6414</w:t>
            </w:r>
          </w:p>
        </w:tc>
        <w:tc>
          <w:tcPr>
            <w:tcW w:w="1860" w:type="dxa"/>
            <w:tcMar>
              <w:top w:w="0" w:type="dxa"/>
              <w:bottom w:w="0" w:type="dxa"/>
            </w:tcMar>
            <w:vAlign w:val="center"/>
          </w:tcPr>
          <w:p w:rsidR="007C37F0" w:rsidRDefault="00BF0EB0">
            <w:pPr>
              <w:keepNext/>
              <w:keepLines/>
              <w:spacing w:after="0" w:line="240" w:lineRule="auto"/>
              <w:jc w:val="right"/>
            </w:pPr>
            <w:r>
              <w:rPr>
                <w:sz w:val="18"/>
              </w:rPr>
              <w:t>286,14</w:t>
            </w:r>
          </w:p>
        </w:tc>
        <w:tc>
          <w:tcPr>
            <w:tcW w:w="1860" w:type="dxa"/>
            <w:tcMar>
              <w:top w:w="0" w:type="dxa"/>
              <w:bottom w:w="0" w:type="dxa"/>
            </w:tcMar>
            <w:vAlign w:val="center"/>
          </w:tcPr>
          <w:p w:rsidR="007C37F0" w:rsidRDefault="00BF0EB0">
            <w:pPr>
              <w:keepNext/>
              <w:keepLines/>
              <w:spacing w:after="0" w:line="240" w:lineRule="auto"/>
              <w:jc w:val="right"/>
            </w:pPr>
            <w:r>
              <w:rPr>
                <w:sz w:val="18"/>
              </w:rPr>
              <w:t>163,82</w:t>
            </w:r>
          </w:p>
        </w:tc>
        <w:tc>
          <w:tcPr>
            <w:tcW w:w="700" w:type="dxa"/>
            <w:tcMar>
              <w:top w:w="0" w:type="dxa"/>
              <w:bottom w:w="0" w:type="dxa"/>
            </w:tcMar>
            <w:vAlign w:val="center"/>
          </w:tcPr>
          <w:p w:rsidR="007C37F0" w:rsidRDefault="00BF0EB0">
            <w:pPr>
              <w:keepNext/>
              <w:keepLines/>
              <w:spacing w:after="0" w:line="240" w:lineRule="auto"/>
              <w:jc w:val="right"/>
            </w:pPr>
            <w:r>
              <w:rPr>
                <w:sz w:val="18"/>
              </w:rPr>
              <w:t>57,3</w:t>
            </w:r>
          </w:p>
        </w:tc>
      </w:tr>
    </w:tbl>
    <w:p w:rsidR="007C37F0" w:rsidRDefault="007C37F0">
      <w:pPr>
        <w:spacing w:after="0"/>
      </w:pPr>
    </w:p>
    <w:p w:rsidR="007C37F0" w:rsidRDefault="00BF0EB0" w:rsidP="00FD1901">
      <w:pPr>
        <w:jc w:val="both"/>
      </w:pPr>
      <w:r>
        <w:t>Evidentirano manje naplaćenih prihoda na ime kamata po sudskim sporovima za 42,70% ili za 122,32 eura.</w:t>
      </w:r>
    </w:p>
    <w:p w:rsidR="007C37F0" w:rsidRDefault="007C37F0"/>
    <w:p w:rsidR="007C37F0" w:rsidRDefault="00BF0EB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6416</w:t>
            </w:r>
          </w:p>
        </w:tc>
        <w:tc>
          <w:tcPr>
            <w:tcW w:w="3180" w:type="dxa"/>
            <w:tcMar>
              <w:top w:w="0" w:type="dxa"/>
              <w:bottom w:w="0" w:type="dxa"/>
            </w:tcMar>
            <w:vAlign w:val="center"/>
          </w:tcPr>
          <w:p w:rsidR="007C37F0" w:rsidRDefault="00BF0EB0">
            <w:pPr>
              <w:keepNext/>
              <w:keepLines/>
              <w:spacing w:after="0" w:line="240" w:lineRule="auto"/>
            </w:pPr>
            <w:r>
              <w:rPr>
                <w:sz w:val="18"/>
              </w:rPr>
              <w:t>Prihodi od dividendi</w:t>
            </w:r>
          </w:p>
        </w:tc>
        <w:tc>
          <w:tcPr>
            <w:tcW w:w="700" w:type="dxa"/>
            <w:tcMar>
              <w:top w:w="0" w:type="dxa"/>
              <w:bottom w:w="0" w:type="dxa"/>
            </w:tcMar>
            <w:vAlign w:val="center"/>
          </w:tcPr>
          <w:p w:rsidR="007C37F0" w:rsidRDefault="00BF0EB0">
            <w:pPr>
              <w:keepNext/>
              <w:keepLines/>
              <w:spacing w:after="0" w:line="240" w:lineRule="auto"/>
            </w:pPr>
            <w:r>
              <w:rPr>
                <w:sz w:val="18"/>
              </w:rPr>
              <w:t>6416</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1860" w:type="dxa"/>
            <w:tcMar>
              <w:top w:w="0" w:type="dxa"/>
              <w:bottom w:w="0" w:type="dxa"/>
            </w:tcMar>
            <w:vAlign w:val="center"/>
          </w:tcPr>
          <w:p w:rsidR="007C37F0" w:rsidRDefault="00BF0EB0">
            <w:pPr>
              <w:keepNext/>
              <w:keepLines/>
              <w:spacing w:after="0" w:line="240" w:lineRule="auto"/>
              <w:jc w:val="right"/>
            </w:pPr>
            <w:r>
              <w:rPr>
                <w:sz w:val="18"/>
              </w:rPr>
              <w:t>583,22</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FD1901">
      <w:pPr>
        <w:jc w:val="both"/>
      </w:pPr>
      <w:r>
        <w:t>Evidentiran iznos od 583,22 eura, prethodne godine nismo imali prihoda od dividendi.</w:t>
      </w:r>
    </w:p>
    <w:p w:rsidR="007C37F0" w:rsidRDefault="007C37F0"/>
    <w:p w:rsidR="007C37F0" w:rsidRDefault="00BF0EB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65</w:t>
            </w:r>
          </w:p>
        </w:tc>
        <w:tc>
          <w:tcPr>
            <w:tcW w:w="3180" w:type="dxa"/>
            <w:tcMar>
              <w:top w:w="0" w:type="dxa"/>
              <w:bottom w:w="0" w:type="dxa"/>
            </w:tcMar>
            <w:vAlign w:val="center"/>
          </w:tcPr>
          <w:p w:rsidR="007C37F0" w:rsidRDefault="00BF0EB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7C37F0" w:rsidRDefault="00BF0EB0">
            <w:pPr>
              <w:keepNext/>
              <w:keepLines/>
              <w:spacing w:after="0" w:line="240" w:lineRule="auto"/>
            </w:pPr>
            <w:r>
              <w:rPr>
                <w:sz w:val="18"/>
              </w:rPr>
              <w:t>65</w:t>
            </w:r>
          </w:p>
        </w:tc>
        <w:tc>
          <w:tcPr>
            <w:tcW w:w="1860" w:type="dxa"/>
            <w:tcMar>
              <w:top w:w="0" w:type="dxa"/>
              <w:bottom w:w="0" w:type="dxa"/>
            </w:tcMar>
            <w:vAlign w:val="center"/>
          </w:tcPr>
          <w:p w:rsidR="007C37F0" w:rsidRDefault="00BF0EB0">
            <w:pPr>
              <w:keepNext/>
              <w:keepLines/>
              <w:spacing w:after="0" w:line="240" w:lineRule="auto"/>
              <w:jc w:val="right"/>
            </w:pPr>
            <w:r>
              <w:rPr>
                <w:sz w:val="18"/>
              </w:rPr>
              <w:t>3.427.603,35</w:t>
            </w:r>
          </w:p>
        </w:tc>
        <w:tc>
          <w:tcPr>
            <w:tcW w:w="1860" w:type="dxa"/>
            <w:tcMar>
              <w:top w:w="0" w:type="dxa"/>
              <w:bottom w:w="0" w:type="dxa"/>
            </w:tcMar>
            <w:vAlign w:val="center"/>
          </w:tcPr>
          <w:p w:rsidR="007C37F0" w:rsidRDefault="00BF0EB0">
            <w:pPr>
              <w:keepNext/>
              <w:keepLines/>
              <w:spacing w:after="0" w:line="240" w:lineRule="auto"/>
              <w:jc w:val="right"/>
            </w:pPr>
            <w:r>
              <w:rPr>
                <w:sz w:val="18"/>
              </w:rPr>
              <w:t>2.740.078,30</w:t>
            </w:r>
          </w:p>
        </w:tc>
        <w:tc>
          <w:tcPr>
            <w:tcW w:w="700" w:type="dxa"/>
            <w:tcMar>
              <w:top w:w="0" w:type="dxa"/>
              <w:bottom w:w="0" w:type="dxa"/>
            </w:tcMar>
            <w:vAlign w:val="center"/>
          </w:tcPr>
          <w:p w:rsidR="007C37F0" w:rsidRDefault="00BF0EB0">
            <w:pPr>
              <w:keepNext/>
              <w:keepLines/>
              <w:spacing w:after="0" w:line="240" w:lineRule="auto"/>
              <w:jc w:val="right"/>
            </w:pPr>
            <w:r>
              <w:rPr>
                <w:sz w:val="18"/>
              </w:rPr>
              <w:t>79,9</w:t>
            </w:r>
          </w:p>
        </w:tc>
      </w:tr>
    </w:tbl>
    <w:p w:rsidR="007C37F0" w:rsidRDefault="007C37F0">
      <w:pPr>
        <w:spacing w:after="0"/>
      </w:pPr>
    </w:p>
    <w:p w:rsidR="007C37F0" w:rsidRDefault="00BF0EB0" w:rsidP="00FD1901">
      <w:pPr>
        <w:jc w:val="both"/>
      </w:pPr>
      <w:r>
        <w:t>Ostvareni su u iznosu 2.740.078,30 eura, manji su u odnosu na prethodnu 2024. godinu za 20,10% ili za 687.525,05 eura. Rezultat smanjenja je slabije punjenje bolničkih kapaciteta (zbog nedostatka kreveta uslijed renovacije objekta Minerva) što utječe i na ostvarenje manjih prihoda od dopunskog osiguranja, participacija, refundacija šteta te ostalih prihoda za posebne namjene (stambena pričuva). </w:t>
      </w:r>
    </w:p>
    <w:p w:rsidR="007C37F0" w:rsidRDefault="007C37F0"/>
    <w:p w:rsidR="007C37F0" w:rsidRDefault="00BF0EB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66</w:t>
            </w:r>
          </w:p>
        </w:tc>
        <w:tc>
          <w:tcPr>
            <w:tcW w:w="3180" w:type="dxa"/>
            <w:tcMar>
              <w:top w:w="0" w:type="dxa"/>
              <w:bottom w:w="0" w:type="dxa"/>
            </w:tcMar>
            <w:vAlign w:val="center"/>
          </w:tcPr>
          <w:p w:rsidR="007C37F0" w:rsidRDefault="00BF0EB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7C37F0" w:rsidRDefault="00BF0EB0">
            <w:pPr>
              <w:keepNext/>
              <w:keepLines/>
              <w:spacing w:after="0" w:line="240" w:lineRule="auto"/>
            </w:pPr>
            <w:r>
              <w:rPr>
                <w:sz w:val="18"/>
              </w:rPr>
              <w:t>66</w:t>
            </w:r>
          </w:p>
        </w:tc>
        <w:tc>
          <w:tcPr>
            <w:tcW w:w="1860" w:type="dxa"/>
            <w:tcMar>
              <w:top w:w="0" w:type="dxa"/>
              <w:bottom w:w="0" w:type="dxa"/>
            </w:tcMar>
            <w:vAlign w:val="center"/>
          </w:tcPr>
          <w:p w:rsidR="007C37F0" w:rsidRDefault="00BF0EB0">
            <w:pPr>
              <w:keepNext/>
              <w:keepLines/>
              <w:spacing w:after="0" w:line="240" w:lineRule="auto"/>
              <w:jc w:val="right"/>
            </w:pPr>
            <w:r>
              <w:rPr>
                <w:sz w:val="18"/>
              </w:rPr>
              <w:t>5.745.675,36</w:t>
            </w:r>
          </w:p>
        </w:tc>
        <w:tc>
          <w:tcPr>
            <w:tcW w:w="1860" w:type="dxa"/>
            <w:tcMar>
              <w:top w:w="0" w:type="dxa"/>
              <w:bottom w:w="0" w:type="dxa"/>
            </w:tcMar>
            <w:vAlign w:val="center"/>
          </w:tcPr>
          <w:p w:rsidR="007C37F0" w:rsidRDefault="00BF0EB0">
            <w:pPr>
              <w:keepNext/>
              <w:keepLines/>
              <w:spacing w:after="0" w:line="240" w:lineRule="auto"/>
              <w:jc w:val="right"/>
            </w:pPr>
            <w:r>
              <w:rPr>
                <w:sz w:val="18"/>
              </w:rPr>
              <w:t>3.340.633,98</w:t>
            </w:r>
          </w:p>
        </w:tc>
        <w:tc>
          <w:tcPr>
            <w:tcW w:w="700" w:type="dxa"/>
            <w:tcMar>
              <w:top w:w="0" w:type="dxa"/>
              <w:bottom w:w="0" w:type="dxa"/>
            </w:tcMar>
            <w:vAlign w:val="center"/>
          </w:tcPr>
          <w:p w:rsidR="007C37F0" w:rsidRDefault="00BF0EB0">
            <w:pPr>
              <w:keepNext/>
              <w:keepLines/>
              <w:spacing w:after="0" w:line="240" w:lineRule="auto"/>
              <w:jc w:val="right"/>
            </w:pPr>
            <w:r>
              <w:rPr>
                <w:sz w:val="18"/>
              </w:rPr>
              <w:t>58,1</w:t>
            </w:r>
          </w:p>
        </w:tc>
      </w:tr>
    </w:tbl>
    <w:p w:rsidR="007C37F0" w:rsidRDefault="007C37F0">
      <w:pPr>
        <w:spacing w:after="0"/>
      </w:pPr>
    </w:p>
    <w:p w:rsidR="007C37F0" w:rsidRDefault="00BF0EB0" w:rsidP="00FD1901">
      <w:pPr>
        <w:jc w:val="both"/>
      </w:pPr>
      <w:r>
        <w:t>Ostvareni su u iznosu 3.340.633,98 eura i manji su za 41,9% ili za 2.405.041,38  eura u odnosu na prethodnu 2024. godinu.</w:t>
      </w:r>
    </w:p>
    <w:p w:rsidR="007C37F0" w:rsidRDefault="007C37F0"/>
    <w:p w:rsidR="007C37F0" w:rsidRDefault="00BF0EB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661</w:t>
            </w:r>
          </w:p>
        </w:tc>
        <w:tc>
          <w:tcPr>
            <w:tcW w:w="3180" w:type="dxa"/>
            <w:tcMar>
              <w:top w:w="0" w:type="dxa"/>
              <w:bottom w:w="0" w:type="dxa"/>
            </w:tcMar>
            <w:vAlign w:val="center"/>
          </w:tcPr>
          <w:p w:rsidR="007C37F0" w:rsidRDefault="00BF0EB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7C37F0" w:rsidRDefault="00BF0EB0">
            <w:pPr>
              <w:keepNext/>
              <w:keepLines/>
              <w:spacing w:after="0" w:line="240" w:lineRule="auto"/>
            </w:pPr>
            <w:r>
              <w:rPr>
                <w:sz w:val="18"/>
              </w:rPr>
              <w:t>661</w:t>
            </w:r>
          </w:p>
        </w:tc>
        <w:tc>
          <w:tcPr>
            <w:tcW w:w="1860" w:type="dxa"/>
            <w:tcMar>
              <w:top w:w="0" w:type="dxa"/>
              <w:bottom w:w="0" w:type="dxa"/>
            </w:tcMar>
            <w:vAlign w:val="center"/>
          </w:tcPr>
          <w:p w:rsidR="007C37F0" w:rsidRDefault="00BF0EB0">
            <w:pPr>
              <w:keepNext/>
              <w:keepLines/>
              <w:spacing w:after="0" w:line="240" w:lineRule="auto"/>
              <w:jc w:val="right"/>
            </w:pPr>
            <w:r>
              <w:rPr>
                <w:sz w:val="18"/>
              </w:rPr>
              <w:t>5.701.621,77</w:t>
            </w:r>
          </w:p>
        </w:tc>
        <w:tc>
          <w:tcPr>
            <w:tcW w:w="1860" w:type="dxa"/>
            <w:tcMar>
              <w:top w:w="0" w:type="dxa"/>
              <w:bottom w:w="0" w:type="dxa"/>
            </w:tcMar>
            <w:vAlign w:val="center"/>
          </w:tcPr>
          <w:p w:rsidR="007C37F0" w:rsidRDefault="00BF0EB0">
            <w:pPr>
              <w:keepNext/>
              <w:keepLines/>
              <w:spacing w:after="0" w:line="240" w:lineRule="auto"/>
              <w:jc w:val="right"/>
            </w:pPr>
            <w:r>
              <w:rPr>
                <w:sz w:val="18"/>
              </w:rPr>
              <w:t>3.319.053,93</w:t>
            </w:r>
          </w:p>
        </w:tc>
        <w:tc>
          <w:tcPr>
            <w:tcW w:w="700" w:type="dxa"/>
            <w:tcMar>
              <w:top w:w="0" w:type="dxa"/>
              <w:bottom w:w="0" w:type="dxa"/>
            </w:tcMar>
            <w:vAlign w:val="center"/>
          </w:tcPr>
          <w:p w:rsidR="007C37F0" w:rsidRDefault="00BF0EB0">
            <w:pPr>
              <w:keepNext/>
              <w:keepLines/>
              <w:spacing w:after="0" w:line="240" w:lineRule="auto"/>
              <w:jc w:val="right"/>
            </w:pPr>
            <w:r>
              <w:rPr>
                <w:sz w:val="18"/>
              </w:rPr>
              <w:t>58,2</w:t>
            </w:r>
          </w:p>
        </w:tc>
      </w:tr>
    </w:tbl>
    <w:p w:rsidR="007C37F0" w:rsidRDefault="007C37F0">
      <w:pPr>
        <w:spacing w:after="0"/>
      </w:pPr>
    </w:p>
    <w:p w:rsidR="007C37F0" w:rsidRDefault="00BF0EB0" w:rsidP="00FD1901">
      <w:pPr>
        <w:jc w:val="both"/>
      </w:pPr>
      <w:r>
        <w:t>Evidentirano je smanjenje za 41,80% ili za 2.382.567,84 eura. Glavni razlog smanjenja jest činjenica da je objekt Minerva zatvoren s danom 1. ožujka  poslovne godine zbog izvođenja radova na projektu „Unapređenje kvalitete smještaja i sadržaja hotela Minerva“, što je izravno utjecalo na smanjenje prihoda u promatranom razdoblju. </w:t>
      </w:r>
    </w:p>
    <w:p w:rsidR="007C37F0" w:rsidRDefault="007C37F0"/>
    <w:p w:rsidR="007C37F0" w:rsidRDefault="00BF0EB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663</w:t>
            </w:r>
          </w:p>
        </w:tc>
        <w:tc>
          <w:tcPr>
            <w:tcW w:w="3180" w:type="dxa"/>
            <w:tcMar>
              <w:top w:w="0" w:type="dxa"/>
              <w:bottom w:w="0" w:type="dxa"/>
            </w:tcMar>
            <w:vAlign w:val="center"/>
          </w:tcPr>
          <w:p w:rsidR="007C37F0" w:rsidRDefault="00BF0EB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7C37F0" w:rsidRDefault="00BF0EB0">
            <w:pPr>
              <w:keepNext/>
              <w:keepLines/>
              <w:spacing w:after="0" w:line="240" w:lineRule="auto"/>
            </w:pPr>
            <w:r>
              <w:rPr>
                <w:sz w:val="18"/>
              </w:rPr>
              <w:t>663</w:t>
            </w:r>
          </w:p>
        </w:tc>
        <w:tc>
          <w:tcPr>
            <w:tcW w:w="1860" w:type="dxa"/>
            <w:tcMar>
              <w:top w:w="0" w:type="dxa"/>
              <w:bottom w:w="0" w:type="dxa"/>
            </w:tcMar>
            <w:vAlign w:val="center"/>
          </w:tcPr>
          <w:p w:rsidR="007C37F0" w:rsidRDefault="00BF0EB0">
            <w:pPr>
              <w:keepNext/>
              <w:keepLines/>
              <w:spacing w:after="0" w:line="240" w:lineRule="auto"/>
              <w:jc w:val="right"/>
            </w:pPr>
            <w:r>
              <w:rPr>
                <w:sz w:val="18"/>
              </w:rPr>
              <w:t>44.053,59</w:t>
            </w:r>
          </w:p>
        </w:tc>
        <w:tc>
          <w:tcPr>
            <w:tcW w:w="1860" w:type="dxa"/>
            <w:tcMar>
              <w:top w:w="0" w:type="dxa"/>
              <w:bottom w:w="0" w:type="dxa"/>
            </w:tcMar>
            <w:vAlign w:val="center"/>
          </w:tcPr>
          <w:p w:rsidR="007C37F0" w:rsidRDefault="00BF0EB0">
            <w:pPr>
              <w:keepNext/>
              <w:keepLines/>
              <w:spacing w:after="0" w:line="240" w:lineRule="auto"/>
              <w:jc w:val="right"/>
            </w:pPr>
            <w:r>
              <w:rPr>
                <w:sz w:val="18"/>
              </w:rPr>
              <w:t>21.580,05</w:t>
            </w:r>
          </w:p>
        </w:tc>
        <w:tc>
          <w:tcPr>
            <w:tcW w:w="700" w:type="dxa"/>
            <w:tcMar>
              <w:top w:w="0" w:type="dxa"/>
              <w:bottom w:w="0" w:type="dxa"/>
            </w:tcMar>
            <w:vAlign w:val="center"/>
          </w:tcPr>
          <w:p w:rsidR="007C37F0" w:rsidRDefault="00BF0EB0">
            <w:pPr>
              <w:keepNext/>
              <w:keepLines/>
              <w:spacing w:after="0" w:line="240" w:lineRule="auto"/>
              <w:jc w:val="right"/>
            </w:pPr>
            <w:r>
              <w:rPr>
                <w:sz w:val="18"/>
              </w:rPr>
              <w:t>49,0</w:t>
            </w:r>
          </w:p>
        </w:tc>
      </w:tr>
    </w:tbl>
    <w:p w:rsidR="007C37F0" w:rsidRDefault="007C37F0">
      <w:pPr>
        <w:spacing w:after="0"/>
      </w:pPr>
    </w:p>
    <w:p w:rsidR="007C37F0" w:rsidRDefault="00BF0EB0" w:rsidP="00FD1901">
      <w:pPr>
        <w:jc w:val="both"/>
      </w:pPr>
      <w:r>
        <w:t>evidentiran iznos od 21.580,05 eura što je za 51,00% ili za 22.473,54 eura manje u odnosu na prethodnu 2024. godinu, a odnosi se na primljene donacije trgovačkih društava za pokriće troškova stručnih edukacija radnika bolnice (sudjelovanja na kongresima, seminarima i tečajevima) u iznosu 7.500,00 eura, na primljene donacije za potrošni medicinski materijal u iznosu 13.780,05 eura te na primljenu kapitalnu donaciju od strane fizičke osobe u vrijednosti 300,00 eura (stolni nogomet), dok je u prethodnoj 2024. godini evidentirana donacija analizatora vrijednosti 18.750,00 eura, donacija bicikla u iznosu 4.498,75 eura, potrošnog materijala u iznosu 12.354,84 eura te donacije trgovačkih društava za pokriće troškova stručnih edukacija radnika bolnice u iznosu 8.450,00 eura. </w:t>
      </w:r>
    </w:p>
    <w:p w:rsidR="007C37F0" w:rsidRDefault="007C37F0"/>
    <w:p w:rsidR="007C37F0" w:rsidRDefault="00BF0EB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67</w:t>
            </w:r>
          </w:p>
        </w:tc>
        <w:tc>
          <w:tcPr>
            <w:tcW w:w="3180" w:type="dxa"/>
            <w:tcMar>
              <w:top w:w="0" w:type="dxa"/>
              <w:bottom w:w="0" w:type="dxa"/>
            </w:tcMar>
            <w:vAlign w:val="center"/>
          </w:tcPr>
          <w:p w:rsidR="007C37F0" w:rsidRDefault="00BF0EB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7C37F0" w:rsidRDefault="00BF0EB0">
            <w:pPr>
              <w:keepNext/>
              <w:keepLines/>
              <w:spacing w:after="0" w:line="240" w:lineRule="auto"/>
            </w:pPr>
            <w:r>
              <w:rPr>
                <w:sz w:val="18"/>
              </w:rPr>
              <w:t>67</w:t>
            </w:r>
          </w:p>
        </w:tc>
        <w:tc>
          <w:tcPr>
            <w:tcW w:w="1860" w:type="dxa"/>
            <w:tcMar>
              <w:top w:w="0" w:type="dxa"/>
              <w:bottom w:w="0" w:type="dxa"/>
            </w:tcMar>
            <w:vAlign w:val="center"/>
          </w:tcPr>
          <w:p w:rsidR="007C37F0" w:rsidRDefault="00BF0EB0">
            <w:pPr>
              <w:keepNext/>
              <w:keepLines/>
              <w:spacing w:after="0" w:line="240" w:lineRule="auto"/>
              <w:jc w:val="right"/>
            </w:pPr>
            <w:r>
              <w:rPr>
                <w:sz w:val="18"/>
              </w:rPr>
              <w:t>17.985.965,70</w:t>
            </w:r>
          </w:p>
        </w:tc>
        <w:tc>
          <w:tcPr>
            <w:tcW w:w="1860" w:type="dxa"/>
            <w:tcMar>
              <w:top w:w="0" w:type="dxa"/>
              <w:bottom w:w="0" w:type="dxa"/>
            </w:tcMar>
            <w:vAlign w:val="center"/>
          </w:tcPr>
          <w:p w:rsidR="007C37F0" w:rsidRDefault="00BF0EB0">
            <w:pPr>
              <w:keepNext/>
              <w:keepLines/>
              <w:spacing w:after="0" w:line="240" w:lineRule="auto"/>
              <w:jc w:val="right"/>
            </w:pPr>
            <w:r>
              <w:rPr>
                <w:sz w:val="18"/>
              </w:rPr>
              <w:t>16.147.719,03</w:t>
            </w:r>
          </w:p>
        </w:tc>
        <w:tc>
          <w:tcPr>
            <w:tcW w:w="700" w:type="dxa"/>
            <w:tcMar>
              <w:top w:w="0" w:type="dxa"/>
              <w:bottom w:w="0" w:type="dxa"/>
            </w:tcMar>
            <w:vAlign w:val="center"/>
          </w:tcPr>
          <w:p w:rsidR="007C37F0" w:rsidRDefault="00BF0EB0">
            <w:pPr>
              <w:keepNext/>
              <w:keepLines/>
              <w:spacing w:after="0" w:line="240" w:lineRule="auto"/>
              <w:jc w:val="right"/>
            </w:pPr>
            <w:r>
              <w:rPr>
                <w:sz w:val="18"/>
              </w:rPr>
              <w:t>89,8</w:t>
            </w:r>
          </w:p>
        </w:tc>
      </w:tr>
    </w:tbl>
    <w:p w:rsidR="007C37F0" w:rsidRDefault="007C37F0">
      <w:pPr>
        <w:spacing w:after="0"/>
      </w:pPr>
    </w:p>
    <w:p w:rsidR="007C37F0" w:rsidRDefault="00BF0EB0">
      <w:r>
        <w:t>ostvareni su u ukupnom iznosu od 16.147.719,03 eura, manji su u odnosu na prethodnu 2024. godinu za 10,20% ili za 1.838.246,67 eura.</w:t>
      </w:r>
    </w:p>
    <w:p w:rsidR="007C37F0" w:rsidRDefault="007C37F0"/>
    <w:p w:rsidR="007C37F0" w:rsidRDefault="00BF0EB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671</w:t>
            </w:r>
          </w:p>
        </w:tc>
        <w:tc>
          <w:tcPr>
            <w:tcW w:w="3180" w:type="dxa"/>
            <w:tcMar>
              <w:top w:w="0" w:type="dxa"/>
              <w:bottom w:w="0" w:type="dxa"/>
            </w:tcMar>
            <w:vAlign w:val="center"/>
          </w:tcPr>
          <w:p w:rsidR="007C37F0" w:rsidRDefault="00BF0EB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7C37F0" w:rsidRDefault="00BF0EB0">
            <w:pPr>
              <w:keepNext/>
              <w:keepLines/>
              <w:spacing w:after="0" w:line="240" w:lineRule="auto"/>
            </w:pPr>
            <w:r>
              <w:rPr>
                <w:sz w:val="18"/>
              </w:rPr>
              <w:t>671</w:t>
            </w:r>
          </w:p>
        </w:tc>
        <w:tc>
          <w:tcPr>
            <w:tcW w:w="1860" w:type="dxa"/>
            <w:tcMar>
              <w:top w:w="0" w:type="dxa"/>
              <w:bottom w:w="0" w:type="dxa"/>
            </w:tcMar>
            <w:vAlign w:val="center"/>
          </w:tcPr>
          <w:p w:rsidR="007C37F0" w:rsidRDefault="00BF0EB0">
            <w:pPr>
              <w:keepNext/>
              <w:keepLines/>
              <w:spacing w:after="0" w:line="240" w:lineRule="auto"/>
              <w:jc w:val="right"/>
            </w:pPr>
            <w:r>
              <w:rPr>
                <w:sz w:val="18"/>
              </w:rPr>
              <w:t>1.841.020,00</w:t>
            </w:r>
          </w:p>
        </w:tc>
        <w:tc>
          <w:tcPr>
            <w:tcW w:w="1860" w:type="dxa"/>
            <w:tcMar>
              <w:top w:w="0" w:type="dxa"/>
              <w:bottom w:w="0" w:type="dxa"/>
            </w:tcMar>
            <w:vAlign w:val="center"/>
          </w:tcPr>
          <w:p w:rsidR="007C37F0" w:rsidRDefault="00BF0EB0">
            <w:pPr>
              <w:keepNext/>
              <w:keepLines/>
              <w:spacing w:after="0" w:line="240" w:lineRule="auto"/>
              <w:jc w:val="right"/>
            </w:pPr>
            <w:r>
              <w:rPr>
                <w:sz w:val="18"/>
              </w:rPr>
              <w:t>888.527,61</w:t>
            </w:r>
          </w:p>
        </w:tc>
        <w:tc>
          <w:tcPr>
            <w:tcW w:w="700" w:type="dxa"/>
            <w:tcMar>
              <w:top w:w="0" w:type="dxa"/>
              <w:bottom w:w="0" w:type="dxa"/>
            </w:tcMar>
            <w:vAlign w:val="center"/>
          </w:tcPr>
          <w:p w:rsidR="007C37F0" w:rsidRDefault="00BF0EB0">
            <w:pPr>
              <w:keepNext/>
              <w:keepLines/>
              <w:spacing w:after="0" w:line="240" w:lineRule="auto"/>
              <w:jc w:val="right"/>
            </w:pPr>
            <w:r>
              <w:rPr>
                <w:sz w:val="18"/>
              </w:rPr>
              <w:t>48,3</w:t>
            </w:r>
          </w:p>
        </w:tc>
      </w:tr>
    </w:tbl>
    <w:p w:rsidR="007C37F0" w:rsidRDefault="007C37F0">
      <w:pPr>
        <w:spacing w:after="0"/>
      </w:pPr>
    </w:p>
    <w:p w:rsidR="007C37F0" w:rsidRDefault="00BF0EB0" w:rsidP="00FD1901">
      <w:pPr>
        <w:jc w:val="both"/>
      </w:pPr>
      <w:r>
        <w:t>Iz decentraliziranih sredstava evidentiran iznos od 718.632,00 euro i to: za financiranje otplate kamata i glavnice po dugoročnim kreditima za energetsku obnovu objekata bolnice u iznosu 530.891,00 eura, za nabavu medicinske opreme u iznosu 175.300,00 eura te za usluge tekućeg i investicijskog održavanja iznos od 12.441,00 eura.</w:t>
      </w:r>
    </w:p>
    <w:p w:rsidR="007C37F0" w:rsidRDefault="00BF0EB0" w:rsidP="00FD1901">
      <w:pPr>
        <w:jc w:val="both"/>
      </w:pPr>
      <w:r>
        <w:t xml:space="preserve">Iz Županijskog proračuna financirani su troškovi po projektu NPOO u iznosu od 58.020,61 euro te nabavka robotskog uređaja za </w:t>
      </w:r>
      <w:proofErr w:type="spellStart"/>
      <w:r>
        <w:t>neurorehabilitaciju</w:t>
      </w:r>
      <w:proofErr w:type="spellEnd"/>
      <w:r>
        <w:t xml:space="preserve"> gornjeg ekstremiteta i šake, prijenosni uređaj za </w:t>
      </w:r>
      <w:proofErr w:type="spellStart"/>
      <w:r>
        <w:t>magnetoterapiju</w:t>
      </w:r>
      <w:proofErr w:type="spellEnd"/>
      <w:r>
        <w:t>, toaletna kolica s posudom, multifunkcionalni uređaj za elektroterapiju te noćni ormarići u ukupnom iznosu 111.875,00 eura. Prethodne godine iz oba izvora dobiveno više sredstava za nabavu medicinske opreme, za dodatna ulaganja te za usluge tekućeg i investicijskog održavanja. </w:t>
      </w:r>
    </w:p>
    <w:p w:rsidR="007C37F0" w:rsidRDefault="007C37F0"/>
    <w:p w:rsidR="007C37F0" w:rsidRDefault="00BF0EB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673</w:t>
            </w:r>
          </w:p>
        </w:tc>
        <w:tc>
          <w:tcPr>
            <w:tcW w:w="3180" w:type="dxa"/>
            <w:tcMar>
              <w:top w:w="0" w:type="dxa"/>
              <w:bottom w:w="0" w:type="dxa"/>
            </w:tcMar>
            <w:vAlign w:val="center"/>
          </w:tcPr>
          <w:p w:rsidR="007C37F0" w:rsidRDefault="00BF0EB0">
            <w:pPr>
              <w:keepNext/>
              <w:keepLines/>
              <w:spacing w:after="0" w:line="240" w:lineRule="auto"/>
            </w:pPr>
            <w:r>
              <w:rPr>
                <w:sz w:val="18"/>
              </w:rPr>
              <w:t>Prihodi od HZZO-a na temelju ugovornih obveza</w:t>
            </w:r>
          </w:p>
        </w:tc>
        <w:tc>
          <w:tcPr>
            <w:tcW w:w="700" w:type="dxa"/>
            <w:tcMar>
              <w:top w:w="0" w:type="dxa"/>
              <w:bottom w:w="0" w:type="dxa"/>
            </w:tcMar>
            <w:vAlign w:val="center"/>
          </w:tcPr>
          <w:p w:rsidR="007C37F0" w:rsidRDefault="00BF0EB0">
            <w:pPr>
              <w:keepNext/>
              <w:keepLines/>
              <w:spacing w:after="0" w:line="240" w:lineRule="auto"/>
            </w:pPr>
            <w:r>
              <w:rPr>
                <w:sz w:val="18"/>
              </w:rPr>
              <w:t>673</w:t>
            </w:r>
          </w:p>
        </w:tc>
        <w:tc>
          <w:tcPr>
            <w:tcW w:w="1860" w:type="dxa"/>
            <w:tcMar>
              <w:top w:w="0" w:type="dxa"/>
              <w:bottom w:w="0" w:type="dxa"/>
            </w:tcMar>
            <w:vAlign w:val="center"/>
          </w:tcPr>
          <w:p w:rsidR="007C37F0" w:rsidRDefault="00BF0EB0">
            <w:pPr>
              <w:keepNext/>
              <w:keepLines/>
              <w:spacing w:after="0" w:line="240" w:lineRule="auto"/>
              <w:jc w:val="right"/>
            </w:pPr>
            <w:r>
              <w:rPr>
                <w:sz w:val="18"/>
              </w:rPr>
              <w:t>16.144.945,70</w:t>
            </w:r>
          </w:p>
        </w:tc>
        <w:tc>
          <w:tcPr>
            <w:tcW w:w="1860" w:type="dxa"/>
            <w:tcMar>
              <w:top w:w="0" w:type="dxa"/>
              <w:bottom w:w="0" w:type="dxa"/>
            </w:tcMar>
            <w:vAlign w:val="center"/>
          </w:tcPr>
          <w:p w:rsidR="007C37F0" w:rsidRDefault="00BF0EB0">
            <w:pPr>
              <w:keepNext/>
              <w:keepLines/>
              <w:spacing w:after="0" w:line="240" w:lineRule="auto"/>
              <w:jc w:val="right"/>
            </w:pPr>
            <w:r>
              <w:rPr>
                <w:sz w:val="18"/>
              </w:rPr>
              <w:t>15.259.191,42</w:t>
            </w:r>
          </w:p>
        </w:tc>
        <w:tc>
          <w:tcPr>
            <w:tcW w:w="700" w:type="dxa"/>
            <w:tcMar>
              <w:top w:w="0" w:type="dxa"/>
              <w:bottom w:w="0" w:type="dxa"/>
            </w:tcMar>
            <w:vAlign w:val="center"/>
          </w:tcPr>
          <w:p w:rsidR="007C37F0" w:rsidRDefault="00BF0EB0">
            <w:pPr>
              <w:keepNext/>
              <w:keepLines/>
              <w:spacing w:after="0" w:line="240" w:lineRule="auto"/>
              <w:jc w:val="right"/>
            </w:pPr>
            <w:r>
              <w:rPr>
                <w:sz w:val="18"/>
              </w:rPr>
              <w:t>94,5</w:t>
            </w:r>
          </w:p>
        </w:tc>
      </w:tr>
    </w:tbl>
    <w:p w:rsidR="007C37F0" w:rsidRDefault="007C37F0">
      <w:pPr>
        <w:spacing w:after="0"/>
      </w:pPr>
    </w:p>
    <w:p w:rsidR="007C37F0" w:rsidRDefault="00BF0EB0" w:rsidP="00FD1901">
      <w:pPr>
        <w:jc w:val="both"/>
      </w:pPr>
      <w:r>
        <w:t>Prihodi su u tekućoj godini manji za 5,50% odnosno za 885.754,28 eura u odnosu na prethodnu 2024. godinu. Navedeno smanjenje prvenstveno je rezultat manjeg izvršenja dodijeljenih limitiranih sredstava u poslovnoj 2025. godini. Budući da se limiti evidentiraju na prihodovnoj strani prema razini izvršenja, neizvršeni iznos iskazuje se kao obveza za neizvršeni rad prema HZZO-u. Razlog smanjenog izvršenja limita je zatvaranje objekta Minerva s danom 1. ožujka 2025. godine, što je zbog manjka smještajnih kapaciteta imalo izravan negativan utjecaj na ukupno izvršenje.</w:t>
      </w:r>
    </w:p>
    <w:p w:rsidR="007C37F0" w:rsidRDefault="007C37F0"/>
    <w:p w:rsidR="007C37F0" w:rsidRDefault="00BF0EB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68</w:t>
            </w:r>
          </w:p>
        </w:tc>
        <w:tc>
          <w:tcPr>
            <w:tcW w:w="3180" w:type="dxa"/>
            <w:tcMar>
              <w:top w:w="0" w:type="dxa"/>
              <w:bottom w:w="0" w:type="dxa"/>
            </w:tcMar>
            <w:vAlign w:val="center"/>
          </w:tcPr>
          <w:p w:rsidR="007C37F0" w:rsidRDefault="00BF0EB0">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7C37F0" w:rsidRDefault="00BF0EB0">
            <w:pPr>
              <w:keepNext/>
              <w:keepLines/>
              <w:spacing w:after="0" w:line="240" w:lineRule="auto"/>
            </w:pPr>
            <w:r>
              <w:rPr>
                <w:sz w:val="18"/>
              </w:rPr>
              <w:t>68</w:t>
            </w:r>
          </w:p>
        </w:tc>
        <w:tc>
          <w:tcPr>
            <w:tcW w:w="1860" w:type="dxa"/>
            <w:tcMar>
              <w:top w:w="0" w:type="dxa"/>
              <w:bottom w:w="0" w:type="dxa"/>
            </w:tcMar>
            <w:vAlign w:val="center"/>
          </w:tcPr>
          <w:p w:rsidR="007C37F0" w:rsidRDefault="00BF0EB0">
            <w:pPr>
              <w:keepNext/>
              <w:keepLines/>
              <w:spacing w:after="0" w:line="240" w:lineRule="auto"/>
              <w:jc w:val="right"/>
            </w:pPr>
            <w:r>
              <w:rPr>
                <w:sz w:val="18"/>
              </w:rPr>
              <w:t>8.228,28</w:t>
            </w:r>
          </w:p>
        </w:tc>
        <w:tc>
          <w:tcPr>
            <w:tcW w:w="1860" w:type="dxa"/>
            <w:tcMar>
              <w:top w:w="0" w:type="dxa"/>
              <w:bottom w:w="0" w:type="dxa"/>
            </w:tcMar>
            <w:vAlign w:val="center"/>
          </w:tcPr>
          <w:p w:rsidR="007C37F0" w:rsidRDefault="00BF0EB0">
            <w:pPr>
              <w:keepNext/>
              <w:keepLines/>
              <w:spacing w:after="0" w:line="240" w:lineRule="auto"/>
              <w:jc w:val="right"/>
            </w:pPr>
            <w:r>
              <w:rPr>
                <w:sz w:val="18"/>
              </w:rPr>
              <w:t>4.004,57</w:t>
            </w:r>
          </w:p>
        </w:tc>
        <w:tc>
          <w:tcPr>
            <w:tcW w:w="700" w:type="dxa"/>
            <w:tcMar>
              <w:top w:w="0" w:type="dxa"/>
              <w:bottom w:w="0" w:type="dxa"/>
            </w:tcMar>
            <w:vAlign w:val="center"/>
          </w:tcPr>
          <w:p w:rsidR="007C37F0" w:rsidRDefault="00BF0EB0">
            <w:pPr>
              <w:keepNext/>
              <w:keepLines/>
              <w:spacing w:after="0" w:line="240" w:lineRule="auto"/>
              <w:jc w:val="right"/>
            </w:pPr>
            <w:r>
              <w:rPr>
                <w:sz w:val="18"/>
              </w:rPr>
              <w:t>48,7</w:t>
            </w:r>
          </w:p>
        </w:tc>
      </w:tr>
    </w:tbl>
    <w:p w:rsidR="007C37F0" w:rsidRDefault="007C37F0">
      <w:pPr>
        <w:spacing w:after="0"/>
      </w:pPr>
    </w:p>
    <w:p w:rsidR="007C37F0" w:rsidRDefault="00BF0EB0" w:rsidP="00FD1901">
      <w:pPr>
        <w:jc w:val="both"/>
      </w:pPr>
      <w:r>
        <w:t>Evidentirano smanjenje za 51,30% ili za 4.223,71 euro. Evidentirano je manje prihoda od popusta i rabata od trgovačkih društva te viškova po inventuri.</w:t>
      </w:r>
    </w:p>
    <w:p w:rsidR="007C37F0" w:rsidRDefault="007C37F0"/>
    <w:p w:rsidR="007C37F0" w:rsidRDefault="00BF0EB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311</w:t>
            </w:r>
          </w:p>
        </w:tc>
        <w:tc>
          <w:tcPr>
            <w:tcW w:w="3180" w:type="dxa"/>
            <w:tcMar>
              <w:top w:w="0" w:type="dxa"/>
              <w:bottom w:w="0" w:type="dxa"/>
            </w:tcMar>
            <w:vAlign w:val="center"/>
          </w:tcPr>
          <w:p w:rsidR="007C37F0" w:rsidRDefault="00BF0EB0">
            <w:pPr>
              <w:keepNext/>
              <w:keepLines/>
              <w:spacing w:after="0" w:line="240" w:lineRule="auto"/>
            </w:pPr>
            <w:r>
              <w:rPr>
                <w:sz w:val="18"/>
              </w:rPr>
              <w:t>Plaće (bruto) (šifre 3111 do 3114)</w:t>
            </w:r>
          </w:p>
        </w:tc>
        <w:tc>
          <w:tcPr>
            <w:tcW w:w="700" w:type="dxa"/>
            <w:tcMar>
              <w:top w:w="0" w:type="dxa"/>
              <w:bottom w:w="0" w:type="dxa"/>
            </w:tcMar>
            <w:vAlign w:val="center"/>
          </w:tcPr>
          <w:p w:rsidR="007C37F0" w:rsidRDefault="00BF0EB0">
            <w:pPr>
              <w:keepNext/>
              <w:keepLines/>
              <w:spacing w:after="0" w:line="240" w:lineRule="auto"/>
            </w:pPr>
            <w:r>
              <w:rPr>
                <w:sz w:val="18"/>
              </w:rPr>
              <w:t>311</w:t>
            </w:r>
          </w:p>
        </w:tc>
        <w:tc>
          <w:tcPr>
            <w:tcW w:w="1860" w:type="dxa"/>
            <w:tcMar>
              <w:top w:w="0" w:type="dxa"/>
              <w:bottom w:w="0" w:type="dxa"/>
            </w:tcMar>
            <w:vAlign w:val="center"/>
          </w:tcPr>
          <w:p w:rsidR="007C37F0" w:rsidRDefault="00BF0EB0">
            <w:pPr>
              <w:keepNext/>
              <w:keepLines/>
              <w:spacing w:after="0" w:line="240" w:lineRule="auto"/>
              <w:jc w:val="right"/>
            </w:pPr>
            <w:r>
              <w:rPr>
                <w:sz w:val="18"/>
              </w:rPr>
              <w:t>15.125.370,86</w:t>
            </w:r>
          </w:p>
        </w:tc>
        <w:tc>
          <w:tcPr>
            <w:tcW w:w="1860" w:type="dxa"/>
            <w:tcMar>
              <w:top w:w="0" w:type="dxa"/>
              <w:bottom w:w="0" w:type="dxa"/>
            </w:tcMar>
            <w:vAlign w:val="center"/>
          </w:tcPr>
          <w:p w:rsidR="007C37F0" w:rsidRDefault="00BF0EB0">
            <w:pPr>
              <w:keepNext/>
              <w:keepLines/>
              <w:spacing w:after="0" w:line="240" w:lineRule="auto"/>
              <w:jc w:val="right"/>
            </w:pPr>
            <w:r>
              <w:rPr>
                <w:sz w:val="18"/>
              </w:rPr>
              <w:t>15.505.707,03</w:t>
            </w:r>
          </w:p>
        </w:tc>
        <w:tc>
          <w:tcPr>
            <w:tcW w:w="700" w:type="dxa"/>
            <w:tcMar>
              <w:top w:w="0" w:type="dxa"/>
              <w:bottom w:w="0" w:type="dxa"/>
            </w:tcMar>
            <w:vAlign w:val="center"/>
          </w:tcPr>
          <w:p w:rsidR="007C37F0" w:rsidRDefault="00BF0EB0">
            <w:pPr>
              <w:keepNext/>
              <w:keepLines/>
              <w:spacing w:after="0" w:line="240" w:lineRule="auto"/>
              <w:jc w:val="right"/>
            </w:pPr>
            <w:r>
              <w:rPr>
                <w:sz w:val="18"/>
              </w:rPr>
              <w:t>102,5</w:t>
            </w:r>
          </w:p>
        </w:tc>
      </w:tr>
    </w:tbl>
    <w:p w:rsidR="007C37F0" w:rsidRDefault="007C37F0">
      <w:pPr>
        <w:spacing w:after="0"/>
      </w:pPr>
    </w:p>
    <w:p w:rsidR="007C37F0" w:rsidRDefault="00BF0EB0" w:rsidP="00FD1901">
      <w:pPr>
        <w:jc w:val="both"/>
      </w:pPr>
      <w:r>
        <w:t>Ukupni troškovi u poslovnoj 2025. godini iznose 15.505.707,03 eura, što predstavlja povećanje od 2,50 %, odnosno 380.336,17 eura u odnosu na isto razdoblje prethodne, 2024. godine. Povećanje ukupnih troškova prvenstveno je rezultat rasta koeficijenata za sva radna mjesta, s primjenom od 1. ožujka 2024. godine, kao i promjena u broju i strukturi zaposlenih. Unatoč porastu troškova, u 2025. godini zabilježen je pad ukupnog broja zaposlenih. Naime, na isti dan 2024. godine bilo je zaposleno 690 djelatnika, dok je u 2025. godini taj broj smanjen na 666, što predstavlja smanjenje za 24 zaposlenih. S obzirom na navedene okolnosti, usporedba troškova plaća s istim razdobljem prethodne godine nije u potpunosti reprezentativna, budući da je povećanje mase plaća najvećim dijelom posljedica rasta koeficijenata, dok je istovremeno zabilježeno smanjenje broja zaposlenih. Evidentirano je smanjenje prekovremenog rada za 13,70% ili za 30.965,46 eura.</w:t>
      </w:r>
    </w:p>
    <w:p w:rsidR="007C37F0" w:rsidRDefault="007C37F0"/>
    <w:p w:rsidR="007C37F0" w:rsidRDefault="00BF0EB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312</w:t>
            </w:r>
          </w:p>
        </w:tc>
        <w:tc>
          <w:tcPr>
            <w:tcW w:w="3180" w:type="dxa"/>
            <w:tcMar>
              <w:top w:w="0" w:type="dxa"/>
              <w:bottom w:w="0" w:type="dxa"/>
            </w:tcMar>
            <w:vAlign w:val="center"/>
          </w:tcPr>
          <w:p w:rsidR="007C37F0" w:rsidRDefault="00BF0EB0">
            <w:pPr>
              <w:keepNext/>
              <w:keepLines/>
              <w:spacing w:after="0" w:line="240" w:lineRule="auto"/>
            </w:pPr>
            <w:r>
              <w:rPr>
                <w:sz w:val="18"/>
              </w:rPr>
              <w:t>Ostali rashodi za zaposlene</w:t>
            </w:r>
          </w:p>
        </w:tc>
        <w:tc>
          <w:tcPr>
            <w:tcW w:w="700" w:type="dxa"/>
            <w:tcMar>
              <w:top w:w="0" w:type="dxa"/>
              <w:bottom w:w="0" w:type="dxa"/>
            </w:tcMar>
            <w:vAlign w:val="center"/>
          </w:tcPr>
          <w:p w:rsidR="007C37F0" w:rsidRDefault="00BF0EB0">
            <w:pPr>
              <w:keepNext/>
              <w:keepLines/>
              <w:spacing w:after="0" w:line="240" w:lineRule="auto"/>
            </w:pPr>
            <w:r>
              <w:rPr>
                <w:sz w:val="18"/>
              </w:rPr>
              <w:t>312</w:t>
            </w:r>
          </w:p>
        </w:tc>
        <w:tc>
          <w:tcPr>
            <w:tcW w:w="1860" w:type="dxa"/>
            <w:tcMar>
              <w:top w:w="0" w:type="dxa"/>
              <w:bottom w:w="0" w:type="dxa"/>
            </w:tcMar>
            <w:vAlign w:val="center"/>
          </w:tcPr>
          <w:p w:rsidR="007C37F0" w:rsidRDefault="00BF0EB0">
            <w:pPr>
              <w:keepNext/>
              <w:keepLines/>
              <w:spacing w:after="0" w:line="240" w:lineRule="auto"/>
              <w:jc w:val="right"/>
            </w:pPr>
            <w:r>
              <w:rPr>
                <w:sz w:val="18"/>
              </w:rPr>
              <w:t>692.704,07</w:t>
            </w:r>
          </w:p>
        </w:tc>
        <w:tc>
          <w:tcPr>
            <w:tcW w:w="1860" w:type="dxa"/>
            <w:tcMar>
              <w:top w:w="0" w:type="dxa"/>
              <w:bottom w:w="0" w:type="dxa"/>
            </w:tcMar>
            <w:vAlign w:val="center"/>
          </w:tcPr>
          <w:p w:rsidR="007C37F0" w:rsidRDefault="00BF0EB0">
            <w:pPr>
              <w:keepNext/>
              <w:keepLines/>
              <w:spacing w:after="0" w:line="240" w:lineRule="auto"/>
              <w:jc w:val="right"/>
            </w:pPr>
            <w:r>
              <w:rPr>
                <w:sz w:val="18"/>
              </w:rPr>
              <w:t>689.409,35</w:t>
            </w:r>
          </w:p>
        </w:tc>
        <w:tc>
          <w:tcPr>
            <w:tcW w:w="700" w:type="dxa"/>
            <w:tcMar>
              <w:top w:w="0" w:type="dxa"/>
              <w:bottom w:w="0" w:type="dxa"/>
            </w:tcMar>
            <w:vAlign w:val="center"/>
          </w:tcPr>
          <w:p w:rsidR="007C37F0" w:rsidRDefault="00BF0EB0">
            <w:pPr>
              <w:keepNext/>
              <w:keepLines/>
              <w:spacing w:after="0" w:line="240" w:lineRule="auto"/>
              <w:jc w:val="right"/>
            </w:pPr>
            <w:r>
              <w:rPr>
                <w:sz w:val="18"/>
              </w:rPr>
              <w:t>99,5</w:t>
            </w:r>
          </w:p>
        </w:tc>
      </w:tr>
    </w:tbl>
    <w:p w:rsidR="007C37F0" w:rsidRDefault="007C37F0">
      <w:pPr>
        <w:spacing w:after="0"/>
      </w:pPr>
    </w:p>
    <w:p w:rsidR="007C37F0" w:rsidRDefault="00BF0EB0" w:rsidP="00FD1901">
      <w:pPr>
        <w:jc w:val="both"/>
      </w:pPr>
      <w:r>
        <w:t>Ukupni troškovi u promatranom razdoblju iznose 689.409,35 eura, što predstavlja smanjenje od 0,50% u odnosu na isto razdoblje prethodne, 2024. godine. Smanjenje ukupnih troškova prvenstveno je rezultat manjeg broja zaposlenih, što se odrazilo na većinu stavki koje se odnose na prava iz radnog odnosa.</w:t>
      </w:r>
    </w:p>
    <w:p w:rsidR="007C37F0" w:rsidRDefault="00BF0EB0" w:rsidP="00FD1901">
      <w:pPr>
        <w:jc w:val="both"/>
      </w:pPr>
      <w:r>
        <w:t xml:space="preserve">Unatoč ukupnom smanjenju, u poslovnoj 2025. godini zabilježen je rast izdataka za jubilarne nagrade za 14,14%, potpore za novorođeno dijete za 7,72% te izdatke za otpremnine za 19,51%. Istodobno je smanjenje evidentirano na sljedećim stavkama: </w:t>
      </w:r>
      <w:proofErr w:type="spellStart"/>
      <w:r>
        <w:t>uskrsnice</w:t>
      </w:r>
      <w:proofErr w:type="spellEnd"/>
      <w:r>
        <w:t xml:space="preserve"> za 4,70%, dječje darove za 2,51%, izdatke za pomoć u slučaju bolesti, smrti, invalidnosti i bolovanja dužeg od 90 dana za 13,89%, regres za godišnji odmor za 4,58% te božićnice za 3,33%.</w:t>
      </w:r>
    </w:p>
    <w:p w:rsidR="007C37F0" w:rsidRDefault="00BF0EB0">
      <w:r>
        <w:t>Ovakva kretanja ukazuju na promjene u broju i strukturi radne snage.</w:t>
      </w:r>
    </w:p>
    <w:p w:rsidR="007C37F0" w:rsidRDefault="007C37F0"/>
    <w:p w:rsidR="007C37F0" w:rsidRDefault="00BF0EB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313</w:t>
            </w:r>
          </w:p>
        </w:tc>
        <w:tc>
          <w:tcPr>
            <w:tcW w:w="3180" w:type="dxa"/>
            <w:tcMar>
              <w:top w:w="0" w:type="dxa"/>
              <w:bottom w:w="0" w:type="dxa"/>
            </w:tcMar>
            <w:vAlign w:val="center"/>
          </w:tcPr>
          <w:p w:rsidR="007C37F0" w:rsidRDefault="00BF0EB0">
            <w:pPr>
              <w:keepNext/>
              <w:keepLines/>
              <w:spacing w:after="0" w:line="240" w:lineRule="auto"/>
            </w:pPr>
            <w:r>
              <w:rPr>
                <w:sz w:val="18"/>
              </w:rPr>
              <w:t>Doprinosi na plaće (šifre 3131 do 3133)</w:t>
            </w:r>
          </w:p>
        </w:tc>
        <w:tc>
          <w:tcPr>
            <w:tcW w:w="700" w:type="dxa"/>
            <w:tcMar>
              <w:top w:w="0" w:type="dxa"/>
              <w:bottom w:w="0" w:type="dxa"/>
            </w:tcMar>
            <w:vAlign w:val="center"/>
          </w:tcPr>
          <w:p w:rsidR="007C37F0" w:rsidRDefault="00BF0EB0">
            <w:pPr>
              <w:keepNext/>
              <w:keepLines/>
              <w:spacing w:after="0" w:line="240" w:lineRule="auto"/>
            </w:pPr>
            <w:r>
              <w:rPr>
                <w:sz w:val="18"/>
              </w:rPr>
              <w:t>313</w:t>
            </w:r>
          </w:p>
        </w:tc>
        <w:tc>
          <w:tcPr>
            <w:tcW w:w="1860" w:type="dxa"/>
            <w:tcMar>
              <w:top w:w="0" w:type="dxa"/>
              <w:bottom w:w="0" w:type="dxa"/>
            </w:tcMar>
            <w:vAlign w:val="center"/>
          </w:tcPr>
          <w:p w:rsidR="007C37F0" w:rsidRDefault="00BF0EB0">
            <w:pPr>
              <w:keepNext/>
              <w:keepLines/>
              <w:spacing w:after="0" w:line="240" w:lineRule="auto"/>
              <w:jc w:val="right"/>
            </w:pPr>
            <w:r>
              <w:rPr>
                <w:sz w:val="18"/>
              </w:rPr>
              <w:t>2.240.035,34</w:t>
            </w:r>
          </w:p>
        </w:tc>
        <w:tc>
          <w:tcPr>
            <w:tcW w:w="1860" w:type="dxa"/>
            <w:tcMar>
              <w:top w:w="0" w:type="dxa"/>
              <w:bottom w:w="0" w:type="dxa"/>
            </w:tcMar>
            <w:vAlign w:val="center"/>
          </w:tcPr>
          <w:p w:rsidR="007C37F0" w:rsidRDefault="00BF0EB0">
            <w:pPr>
              <w:keepNext/>
              <w:keepLines/>
              <w:spacing w:after="0" w:line="240" w:lineRule="auto"/>
              <w:jc w:val="right"/>
            </w:pPr>
            <w:r>
              <w:rPr>
                <w:sz w:val="18"/>
              </w:rPr>
              <w:t>2.311.840,55</w:t>
            </w:r>
          </w:p>
        </w:tc>
        <w:tc>
          <w:tcPr>
            <w:tcW w:w="700" w:type="dxa"/>
            <w:tcMar>
              <w:top w:w="0" w:type="dxa"/>
              <w:bottom w:w="0" w:type="dxa"/>
            </w:tcMar>
            <w:vAlign w:val="center"/>
          </w:tcPr>
          <w:p w:rsidR="007C37F0" w:rsidRDefault="00BF0EB0">
            <w:pPr>
              <w:keepNext/>
              <w:keepLines/>
              <w:spacing w:after="0" w:line="240" w:lineRule="auto"/>
              <w:jc w:val="right"/>
            </w:pPr>
            <w:r>
              <w:rPr>
                <w:sz w:val="18"/>
              </w:rPr>
              <w:t>103,2</w:t>
            </w:r>
          </w:p>
        </w:tc>
      </w:tr>
    </w:tbl>
    <w:p w:rsidR="007C37F0" w:rsidRDefault="007C37F0">
      <w:pPr>
        <w:spacing w:after="0"/>
      </w:pPr>
    </w:p>
    <w:p w:rsidR="007C37F0" w:rsidRDefault="00BF0EB0">
      <w:r>
        <w:lastRenderedPageBreak/>
        <w:t>Rashodi ostvareni u iznosu 2.311.840,55 eura veći su za 3,20% ili za 71.805,21 eura u odnosu na isto razdoblje prethodne godine – posljedično prati rast bruto plaća, a isplaćeni su sukladno važećim Zakonskim propisima.</w:t>
      </w:r>
    </w:p>
    <w:p w:rsidR="007C37F0" w:rsidRDefault="007C37F0"/>
    <w:p w:rsidR="007C37F0" w:rsidRDefault="00BF0EB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321</w:t>
            </w:r>
          </w:p>
        </w:tc>
        <w:tc>
          <w:tcPr>
            <w:tcW w:w="3180" w:type="dxa"/>
            <w:tcMar>
              <w:top w:w="0" w:type="dxa"/>
              <w:bottom w:w="0" w:type="dxa"/>
            </w:tcMar>
            <w:vAlign w:val="center"/>
          </w:tcPr>
          <w:p w:rsidR="007C37F0" w:rsidRDefault="00BF0EB0">
            <w:pPr>
              <w:keepNext/>
              <w:keepLines/>
              <w:spacing w:after="0" w:line="240" w:lineRule="auto"/>
            </w:pPr>
            <w:r>
              <w:rPr>
                <w:sz w:val="18"/>
              </w:rPr>
              <w:t>Naknade troškova zaposlenima (šifre 3211 do 3214)</w:t>
            </w:r>
          </w:p>
        </w:tc>
        <w:tc>
          <w:tcPr>
            <w:tcW w:w="700" w:type="dxa"/>
            <w:tcMar>
              <w:top w:w="0" w:type="dxa"/>
              <w:bottom w:w="0" w:type="dxa"/>
            </w:tcMar>
            <w:vAlign w:val="center"/>
          </w:tcPr>
          <w:p w:rsidR="007C37F0" w:rsidRDefault="00BF0EB0">
            <w:pPr>
              <w:keepNext/>
              <w:keepLines/>
              <w:spacing w:after="0" w:line="240" w:lineRule="auto"/>
            </w:pPr>
            <w:r>
              <w:rPr>
                <w:sz w:val="18"/>
              </w:rPr>
              <w:t>321</w:t>
            </w:r>
          </w:p>
        </w:tc>
        <w:tc>
          <w:tcPr>
            <w:tcW w:w="1860" w:type="dxa"/>
            <w:tcMar>
              <w:top w:w="0" w:type="dxa"/>
              <w:bottom w:w="0" w:type="dxa"/>
            </w:tcMar>
            <w:vAlign w:val="center"/>
          </w:tcPr>
          <w:p w:rsidR="007C37F0" w:rsidRDefault="00BF0EB0">
            <w:pPr>
              <w:keepNext/>
              <w:keepLines/>
              <w:spacing w:after="0" w:line="240" w:lineRule="auto"/>
              <w:jc w:val="right"/>
            </w:pPr>
            <w:r>
              <w:rPr>
                <w:sz w:val="18"/>
              </w:rPr>
              <w:t>877.799,17</w:t>
            </w:r>
          </w:p>
        </w:tc>
        <w:tc>
          <w:tcPr>
            <w:tcW w:w="1860" w:type="dxa"/>
            <w:tcMar>
              <w:top w:w="0" w:type="dxa"/>
              <w:bottom w:w="0" w:type="dxa"/>
            </w:tcMar>
            <w:vAlign w:val="center"/>
          </w:tcPr>
          <w:p w:rsidR="007C37F0" w:rsidRDefault="00BF0EB0">
            <w:pPr>
              <w:keepNext/>
              <w:keepLines/>
              <w:spacing w:after="0" w:line="240" w:lineRule="auto"/>
              <w:jc w:val="right"/>
            </w:pPr>
            <w:r>
              <w:rPr>
                <w:sz w:val="18"/>
              </w:rPr>
              <w:t>822.179,82</w:t>
            </w:r>
          </w:p>
        </w:tc>
        <w:tc>
          <w:tcPr>
            <w:tcW w:w="700" w:type="dxa"/>
            <w:tcMar>
              <w:top w:w="0" w:type="dxa"/>
              <w:bottom w:w="0" w:type="dxa"/>
            </w:tcMar>
            <w:vAlign w:val="center"/>
          </w:tcPr>
          <w:p w:rsidR="007C37F0" w:rsidRDefault="00BF0EB0">
            <w:pPr>
              <w:keepNext/>
              <w:keepLines/>
              <w:spacing w:after="0" w:line="240" w:lineRule="auto"/>
              <w:jc w:val="right"/>
            </w:pPr>
            <w:r>
              <w:rPr>
                <w:sz w:val="18"/>
              </w:rPr>
              <w:t>93,7</w:t>
            </w:r>
          </w:p>
        </w:tc>
      </w:tr>
    </w:tbl>
    <w:p w:rsidR="007C37F0" w:rsidRDefault="007C37F0">
      <w:pPr>
        <w:spacing w:after="0"/>
      </w:pPr>
    </w:p>
    <w:p w:rsidR="007C37F0" w:rsidRDefault="00BF0EB0" w:rsidP="00FD1901">
      <w:pPr>
        <w:jc w:val="both"/>
      </w:pPr>
      <w:r>
        <w:t>Ukupni troškovi u poslovnoj 2025. godini ostvareni su u iznosu od 822.179,82 eura, što predstavlja smanjenje od 6,30%, odnosno 55.619,35 eura, u odnosu na isto razdoblje prethodne godine. Smanjenje ukupnih troškova rezultat je minimalne racionalizacije operativnih izdataka, koja je provedena u okviru mogućeg smanjenja bez ugrožavanja kontinuiteta poslovanja. Racionalizacija je obuhvatila ograničavanje službenih putovanja zaposlenika, smanjenje troškova naknada za prijevoz na posao i s posla te optimizaciju ostalih tekućih rashoda. Smanjenje troškova naknada za prijevoz na posao i s posla povezano je s manjim brojem zaposlenih, pri čemu su putni troškovi i dalje obračunavani po principu povoljnijem za radnika. Evidentirano je smanjenje broja službenih putovanja za 59,80% te smanjenje troškova prijevoza na posao i s posla za 6,00%.</w:t>
      </w:r>
    </w:p>
    <w:p w:rsidR="007C37F0" w:rsidRDefault="00BF0EB0" w:rsidP="00FD1901">
      <w:pPr>
        <w:jc w:val="both"/>
      </w:pPr>
      <w:r>
        <w:t>Istodobno je, neovisno o navedenim mjerama racionalizacije, zabilježen porast troškova stručnog usavršavanja za 53,90%, koji se odnosi na nužna i obvezna usavršavanja zaposlenih (pretežno medicinski kadar). </w:t>
      </w:r>
    </w:p>
    <w:p w:rsidR="007C37F0" w:rsidRDefault="007C37F0"/>
    <w:p w:rsidR="007C37F0" w:rsidRDefault="00BF0EB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322</w:t>
            </w:r>
          </w:p>
        </w:tc>
        <w:tc>
          <w:tcPr>
            <w:tcW w:w="3180" w:type="dxa"/>
            <w:tcMar>
              <w:top w:w="0" w:type="dxa"/>
              <w:bottom w:w="0" w:type="dxa"/>
            </w:tcMar>
            <w:vAlign w:val="center"/>
          </w:tcPr>
          <w:p w:rsidR="007C37F0" w:rsidRDefault="00BF0EB0">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7C37F0" w:rsidRDefault="00BF0EB0">
            <w:pPr>
              <w:keepNext/>
              <w:keepLines/>
              <w:spacing w:after="0" w:line="240" w:lineRule="auto"/>
            </w:pPr>
            <w:r>
              <w:rPr>
                <w:sz w:val="18"/>
              </w:rPr>
              <w:t>322</w:t>
            </w:r>
          </w:p>
        </w:tc>
        <w:tc>
          <w:tcPr>
            <w:tcW w:w="1860" w:type="dxa"/>
            <w:tcMar>
              <w:top w:w="0" w:type="dxa"/>
              <w:bottom w:w="0" w:type="dxa"/>
            </w:tcMar>
            <w:vAlign w:val="center"/>
          </w:tcPr>
          <w:p w:rsidR="007C37F0" w:rsidRDefault="00BF0EB0">
            <w:pPr>
              <w:keepNext/>
              <w:keepLines/>
              <w:spacing w:after="0" w:line="240" w:lineRule="auto"/>
              <w:jc w:val="right"/>
            </w:pPr>
            <w:r>
              <w:rPr>
                <w:sz w:val="18"/>
              </w:rPr>
              <w:t>3.587.921,41</w:t>
            </w:r>
          </w:p>
        </w:tc>
        <w:tc>
          <w:tcPr>
            <w:tcW w:w="1860" w:type="dxa"/>
            <w:tcMar>
              <w:top w:w="0" w:type="dxa"/>
              <w:bottom w:w="0" w:type="dxa"/>
            </w:tcMar>
            <w:vAlign w:val="center"/>
          </w:tcPr>
          <w:p w:rsidR="007C37F0" w:rsidRDefault="00BF0EB0">
            <w:pPr>
              <w:keepNext/>
              <w:keepLines/>
              <w:spacing w:after="0" w:line="240" w:lineRule="auto"/>
              <w:jc w:val="right"/>
            </w:pPr>
            <w:r>
              <w:rPr>
                <w:sz w:val="18"/>
              </w:rPr>
              <w:t>1.905.471,22</w:t>
            </w:r>
          </w:p>
        </w:tc>
        <w:tc>
          <w:tcPr>
            <w:tcW w:w="700" w:type="dxa"/>
            <w:tcMar>
              <w:top w:w="0" w:type="dxa"/>
              <w:bottom w:w="0" w:type="dxa"/>
            </w:tcMar>
            <w:vAlign w:val="center"/>
          </w:tcPr>
          <w:p w:rsidR="007C37F0" w:rsidRDefault="00BF0EB0">
            <w:pPr>
              <w:keepNext/>
              <w:keepLines/>
              <w:spacing w:after="0" w:line="240" w:lineRule="auto"/>
              <w:jc w:val="right"/>
            </w:pPr>
            <w:r>
              <w:rPr>
                <w:sz w:val="18"/>
              </w:rPr>
              <w:t>53,1</w:t>
            </w:r>
          </w:p>
        </w:tc>
      </w:tr>
    </w:tbl>
    <w:p w:rsidR="007C37F0" w:rsidRDefault="007C37F0">
      <w:pPr>
        <w:spacing w:after="0"/>
      </w:pPr>
    </w:p>
    <w:p w:rsidR="007C37F0" w:rsidRDefault="00BF0EB0" w:rsidP="00FD1901">
      <w:pPr>
        <w:jc w:val="both"/>
      </w:pPr>
      <w:r>
        <w:t>Ukupni troškovi u promatranom razdoblju iznose 1.905.471,22 eura, što predstavlja smanjenje od 46,90%, odnosno 1.682.450,19 eura u odnosu na isto razdoblje prethodne, 2024. godine. Smanjenje ukupnih troškova prvenstveno je rezultat nižih izdataka za materijal i sirovine, što je izravna posljedica zatvaranja objekta Minerva s danom 1. ožujka 2025. godine. Tijekom navedenog razdoblja, budući da nije bilo korisnika smještajnih usluga, troškovi živežnih namirnica te nabavne vrijednosti robe za trgovine znatno su smanjeni.</w:t>
      </w:r>
      <w:r>
        <w:br/>
        <w:t>Dodatno su zabilježeni manji troškovi za energiju, sitni inventar te materijal za tekuće i investicijsko održavanje, što je dodatno doprinijelo ukupnom smanjenju troškova u ovoj kategoriji.</w:t>
      </w:r>
      <w:r>
        <w:br/>
        <w:t>Ovakva kretanja potvrđuju učinak privremenog zatvaranja objekta na operativne troškove i odražavaju ciljano upravljanje resursima u uvjetima smanjene poslovne aktivnosti.</w:t>
      </w:r>
    </w:p>
    <w:p w:rsidR="007C37F0" w:rsidRDefault="007C37F0"/>
    <w:p w:rsidR="007C37F0" w:rsidRDefault="00BF0EB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323</w:t>
            </w:r>
          </w:p>
        </w:tc>
        <w:tc>
          <w:tcPr>
            <w:tcW w:w="3180" w:type="dxa"/>
            <w:tcMar>
              <w:top w:w="0" w:type="dxa"/>
              <w:bottom w:w="0" w:type="dxa"/>
            </w:tcMar>
            <w:vAlign w:val="center"/>
          </w:tcPr>
          <w:p w:rsidR="007C37F0" w:rsidRDefault="00BF0EB0">
            <w:pPr>
              <w:keepNext/>
              <w:keepLines/>
              <w:spacing w:after="0" w:line="240" w:lineRule="auto"/>
            </w:pPr>
            <w:r>
              <w:rPr>
                <w:sz w:val="18"/>
              </w:rPr>
              <w:t>Rashodi za usluge (šifre 3231 do 3239)</w:t>
            </w:r>
          </w:p>
        </w:tc>
        <w:tc>
          <w:tcPr>
            <w:tcW w:w="700" w:type="dxa"/>
            <w:tcMar>
              <w:top w:w="0" w:type="dxa"/>
              <w:bottom w:w="0" w:type="dxa"/>
            </w:tcMar>
            <w:vAlign w:val="center"/>
          </w:tcPr>
          <w:p w:rsidR="007C37F0" w:rsidRDefault="00BF0EB0">
            <w:pPr>
              <w:keepNext/>
              <w:keepLines/>
              <w:spacing w:after="0" w:line="240" w:lineRule="auto"/>
            </w:pPr>
            <w:r>
              <w:rPr>
                <w:sz w:val="18"/>
              </w:rPr>
              <w:t>323</w:t>
            </w:r>
          </w:p>
        </w:tc>
        <w:tc>
          <w:tcPr>
            <w:tcW w:w="1860" w:type="dxa"/>
            <w:tcMar>
              <w:top w:w="0" w:type="dxa"/>
              <w:bottom w:w="0" w:type="dxa"/>
            </w:tcMar>
            <w:vAlign w:val="center"/>
          </w:tcPr>
          <w:p w:rsidR="007C37F0" w:rsidRDefault="00BF0EB0">
            <w:pPr>
              <w:keepNext/>
              <w:keepLines/>
              <w:spacing w:after="0" w:line="240" w:lineRule="auto"/>
              <w:jc w:val="right"/>
            </w:pPr>
            <w:r>
              <w:rPr>
                <w:sz w:val="18"/>
              </w:rPr>
              <w:t>2.252.500,54</w:t>
            </w:r>
          </w:p>
        </w:tc>
        <w:tc>
          <w:tcPr>
            <w:tcW w:w="1860" w:type="dxa"/>
            <w:tcMar>
              <w:top w:w="0" w:type="dxa"/>
              <w:bottom w:w="0" w:type="dxa"/>
            </w:tcMar>
            <w:vAlign w:val="center"/>
          </w:tcPr>
          <w:p w:rsidR="007C37F0" w:rsidRDefault="00BF0EB0">
            <w:pPr>
              <w:keepNext/>
              <w:keepLines/>
              <w:spacing w:after="0" w:line="240" w:lineRule="auto"/>
              <w:jc w:val="right"/>
            </w:pPr>
            <w:r>
              <w:rPr>
                <w:sz w:val="18"/>
              </w:rPr>
              <w:t>1.915.354,97</w:t>
            </w:r>
          </w:p>
        </w:tc>
        <w:tc>
          <w:tcPr>
            <w:tcW w:w="700" w:type="dxa"/>
            <w:tcMar>
              <w:top w:w="0" w:type="dxa"/>
              <w:bottom w:w="0" w:type="dxa"/>
            </w:tcMar>
            <w:vAlign w:val="center"/>
          </w:tcPr>
          <w:p w:rsidR="007C37F0" w:rsidRDefault="00BF0EB0">
            <w:pPr>
              <w:keepNext/>
              <w:keepLines/>
              <w:spacing w:after="0" w:line="240" w:lineRule="auto"/>
              <w:jc w:val="right"/>
            </w:pPr>
            <w:r>
              <w:rPr>
                <w:sz w:val="18"/>
              </w:rPr>
              <w:t>85,0</w:t>
            </w:r>
          </w:p>
        </w:tc>
      </w:tr>
    </w:tbl>
    <w:p w:rsidR="007C37F0" w:rsidRDefault="007C37F0">
      <w:pPr>
        <w:spacing w:after="0"/>
      </w:pPr>
    </w:p>
    <w:p w:rsidR="007C37F0" w:rsidRDefault="00BF0EB0" w:rsidP="00FD1901">
      <w:pPr>
        <w:jc w:val="both"/>
      </w:pPr>
      <w:r>
        <w:t>Ukupni troškovi u promatranom razdoblju iznose 1.915.354,97 eura, što predstavlja smanjenje od 15,00%, odnosno 337.145,57 eura, u odnosu na isto razdoblje prethodne, 2024. godine. Smanjenje troškova evidentirano je na stavkama usluga telefona, interneta i pošte, usluga tekućeg i investicijskog održavanja, usluga promidžbe i informiranja, intelektualnih i ostalih usluga te komunalnih usluga. S druge strane, porast troškova zabilježen je kod zdravstvenih i veterinarskih usluga za 16,50%, zakupnina i najamnina za 744,80% (najam kantine u Medicinskoj školi Varaždin ), ostalih usluga za 37,00% (usluge tjelesne zaštite – cijena sata rada znatno viša nego u isto razdoblje prethodne godine) te računalnih usluga za 7,30%. Ukupno gledano, smanjenje ukupnih rashoda rezultat je uravnoteženja između racionalizacije pojedinih usluga i porasta troškova u drugim kategorijama, što odražava prilagodbu poslovanja aktualnim potrebama i tržišnim uvjetima.</w:t>
      </w:r>
    </w:p>
    <w:p w:rsidR="007C37F0" w:rsidRDefault="007C37F0"/>
    <w:p w:rsidR="007C37F0" w:rsidRDefault="00BF0EB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325</w:t>
            </w:r>
          </w:p>
        </w:tc>
        <w:tc>
          <w:tcPr>
            <w:tcW w:w="3180" w:type="dxa"/>
            <w:tcMar>
              <w:top w:w="0" w:type="dxa"/>
              <w:bottom w:w="0" w:type="dxa"/>
            </w:tcMar>
            <w:vAlign w:val="center"/>
          </w:tcPr>
          <w:p w:rsidR="007C37F0" w:rsidRDefault="00BF0EB0">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7C37F0" w:rsidRDefault="00BF0EB0">
            <w:pPr>
              <w:keepNext/>
              <w:keepLines/>
              <w:spacing w:after="0" w:line="240" w:lineRule="auto"/>
            </w:pPr>
            <w:r>
              <w:rPr>
                <w:sz w:val="18"/>
              </w:rPr>
              <w:t>325</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1860" w:type="dxa"/>
            <w:tcMar>
              <w:top w:w="0" w:type="dxa"/>
              <w:bottom w:w="0" w:type="dxa"/>
            </w:tcMar>
            <w:vAlign w:val="center"/>
          </w:tcPr>
          <w:p w:rsidR="007C37F0" w:rsidRDefault="00BF0EB0">
            <w:pPr>
              <w:keepNext/>
              <w:keepLines/>
              <w:spacing w:after="0" w:line="240" w:lineRule="auto"/>
              <w:jc w:val="right"/>
            </w:pPr>
            <w:r>
              <w:rPr>
                <w:sz w:val="18"/>
              </w:rPr>
              <w:t>513.743,91</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FD1901">
      <w:pPr>
        <w:jc w:val="both"/>
      </w:pPr>
      <w:r>
        <w:t>Ukupni troškovi za lijekove i potrošni medicinski materijal u poslovnoj 2025. godini iznose 513.743,91 eura. U prethodnoj, 2024. godini, ovi rashodi iskazivali su se unutar skupine konta 322, dok je primjenom novog Pravilnika uvedena posebna skupina konta 325 za praćenje troškova lijekova i potrošnog medicinskog materijala, čime je omogućena preciznija evidencija i analiza.</w:t>
      </w:r>
    </w:p>
    <w:p w:rsidR="007C37F0" w:rsidRDefault="00BF0EB0" w:rsidP="00FD1901">
      <w:pPr>
        <w:jc w:val="both"/>
      </w:pPr>
      <w:r>
        <w:t>Analizom ukupnih troškova za lijekove i potrošni medicinski materijal u poslovnoj 2024. godini, kada su iznosili 567.802,02 eura, utvrđeno je smanjenje u 2025. godini od 9,53%, odnosno 54.058,11 eura. Smanjenje je prvenstveno rezultat implementacije sustava kontrole i racionalizacije potrošnje lijekova i materijala (poboljšana evidencija zaliha, nadzor korištenja) te standardizacije terapijskih protokola, čime se sprječava nepotrebna ili prekomjerna primjena lijekova i materijala.</w:t>
      </w:r>
    </w:p>
    <w:p w:rsidR="007C37F0" w:rsidRDefault="007C37F0"/>
    <w:p w:rsidR="007C37F0" w:rsidRDefault="00BF0EB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329</w:t>
            </w:r>
          </w:p>
        </w:tc>
        <w:tc>
          <w:tcPr>
            <w:tcW w:w="3180" w:type="dxa"/>
            <w:tcMar>
              <w:top w:w="0" w:type="dxa"/>
              <w:bottom w:w="0" w:type="dxa"/>
            </w:tcMar>
            <w:vAlign w:val="center"/>
          </w:tcPr>
          <w:p w:rsidR="007C37F0" w:rsidRDefault="00BF0EB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7C37F0" w:rsidRDefault="00BF0EB0">
            <w:pPr>
              <w:keepNext/>
              <w:keepLines/>
              <w:spacing w:after="0" w:line="240" w:lineRule="auto"/>
            </w:pPr>
            <w:r>
              <w:rPr>
                <w:sz w:val="18"/>
              </w:rPr>
              <w:t>329</w:t>
            </w:r>
          </w:p>
        </w:tc>
        <w:tc>
          <w:tcPr>
            <w:tcW w:w="1860" w:type="dxa"/>
            <w:tcMar>
              <w:top w:w="0" w:type="dxa"/>
              <w:bottom w:w="0" w:type="dxa"/>
            </w:tcMar>
            <w:vAlign w:val="center"/>
          </w:tcPr>
          <w:p w:rsidR="007C37F0" w:rsidRDefault="00BF0EB0">
            <w:pPr>
              <w:keepNext/>
              <w:keepLines/>
              <w:spacing w:after="0" w:line="240" w:lineRule="auto"/>
              <w:jc w:val="right"/>
            </w:pPr>
            <w:r>
              <w:rPr>
                <w:sz w:val="18"/>
              </w:rPr>
              <w:t>473.443,24</w:t>
            </w:r>
          </w:p>
        </w:tc>
        <w:tc>
          <w:tcPr>
            <w:tcW w:w="1860" w:type="dxa"/>
            <w:tcMar>
              <w:top w:w="0" w:type="dxa"/>
              <w:bottom w:w="0" w:type="dxa"/>
            </w:tcMar>
            <w:vAlign w:val="center"/>
          </w:tcPr>
          <w:p w:rsidR="007C37F0" w:rsidRDefault="00BF0EB0">
            <w:pPr>
              <w:keepNext/>
              <w:keepLines/>
              <w:spacing w:after="0" w:line="240" w:lineRule="auto"/>
              <w:jc w:val="right"/>
            </w:pPr>
            <w:r>
              <w:rPr>
                <w:sz w:val="18"/>
              </w:rPr>
              <w:t>270.670,90</w:t>
            </w:r>
          </w:p>
        </w:tc>
        <w:tc>
          <w:tcPr>
            <w:tcW w:w="700" w:type="dxa"/>
            <w:tcMar>
              <w:top w:w="0" w:type="dxa"/>
              <w:bottom w:w="0" w:type="dxa"/>
            </w:tcMar>
            <w:vAlign w:val="center"/>
          </w:tcPr>
          <w:p w:rsidR="007C37F0" w:rsidRDefault="00BF0EB0">
            <w:pPr>
              <w:keepNext/>
              <w:keepLines/>
              <w:spacing w:after="0" w:line="240" w:lineRule="auto"/>
              <w:jc w:val="right"/>
            </w:pPr>
            <w:r>
              <w:rPr>
                <w:sz w:val="18"/>
              </w:rPr>
              <w:t>57,2</w:t>
            </w:r>
          </w:p>
        </w:tc>
      </w:tr>
    </w:tbl>
    <w:p w:rsidR="007C37F0" w:rsidRDefault="007C37F0">
      <w:pPr>
        <w:spacing w:after="0"/>
      </w:pPr>
    </w:p>
    <w:p w:rsidR="007C37F0" w:rsidRDefault="00BF0EB0" w:rsidP="00FD1901">
      <w:pPr>
        <w:jc w:val="both"/>
      </w:pPr>
      <w:r>
        <w:t>Ukupni troškovi u ovoj kategoriji bilježe smanjenje u odnosu na isto razdoblje prethodne godine za 42,80 %, odnosno za 202.772,34 eura.</w:t>
      </w:r>
    </w:p>
    <w:p w:rsidR="007C37F0" w:rsidRDefault="00BF0EB0" w:rsidP="00FD1901">
      <w:pPr>
        <w:jc w:val="both"/>
      </w:pPr>
      <w:r>
        <w:t xml:space="preserve">Najveće smanjenje evidentirano je na sljedećim stavkama: troškovi reprezentacije smanjeni su za 29,80 %, što se odnosi prvenstveno na smanjeno ugošćavanje poslovnih partnera; naknade za rad članova Upravnog vijeća smanjene su za 4,30 %, zbog neimenovanja predstavnika Ministarstva zdravstva (predstavnik imenovan u lipnju 2025. godine); ostali nespomenuti rashodi poslovanja smanjeni su za 57,90 %, a odnose se na troškove poput cvjećarskih usluga, komunalnih naknada, naknada za uređenje i korištenje voda te provizija </w:t>
      </w:r>
      <w:proofErr w:type="spellStart"/>
      <w:r>
        <w:t>kartičarskim</w:t>
      </w:r>
      <w:proofErr w:type="spellEnd"/>
      <w:r>
        <w:t xml:space="preserve"> kućama.</w:t>
      </w:r>
    </w:p>
    <w:p w:rsidR="007C37F0" w:rsidRDefault="00BF0EB0" w:rsidP="00FD1901">
      <w:pPr>
        <w:jc w:val="both"/>
      </w:pPr>
      <w:r>
        <w:t xml:space="preserve">S druge strane, zabilježeno je povećanje troškova kod raznih pristojbi i naknada (6,40 %), članarina (2,70 %), premija osiguranja (46,40 %) zbog osiguranja nove imovine (Nacionalni rehabilitacijski centar za osobe s bolestima i oštećenjima </w:t>
      </w:r>
      <w:proofErr w:type="spellStart"/>
      <w:r>
        <w:t>kralježnične</w:t>
      </w:r>
      <w:proofErr w:type="spellEnd"/>
      <w:r>
        <w:t xml:space="preserve"> moždine) te troškova sudskih postupaka (8,90 %), što odražava neizbježne obveze i upravljanje rizicima povezane s poslovanjem.</w:t>
      </w:r>
    </w:p>
    <w:p w:rsidR="007C37F0" w:rsidRDefault="00BF0EB0" w:rsidP="00FD1901">
      <w:pPr>
        <w:jc w:val="both"/>
      </w:pPr>
      <w:r>
        <w:t xml:space="preserve">Smanjenje ukupnih troškova rezultat je dvaju ključnih čimbenika: djelomično proizlazi iz odluke Uprave o racionalizaciji poslovanja, kojom se odobravaju isključivo nužne i neophodne nabavke, a djelomično iz činjenice da je objekt Minerva bio zatvoren zbog radova na unaprjeđenju kvalitete smještaja i sadržaja. Zbog toga je, primjerice, značajno smanjen trošak provizija </w:t>
      </w:r>
      <w:proofErr w:type="spellStart"/>
      <w:r>
        <w:t>kartičarskim</w:t>
      </w:r>
      <w:proofErr w:type="spellEnd"/>
      <w:r>
        <w:t xml:space="preserve"> kućama, s obzirom na to da u objektu nije bilo naplate usluga.</w:t>
      </w:r>
    </w:p>
    <w:p w:rsidR="007C37F0" w:rsidRDefault="007C37F0"/>
    <w:p w:rsidR="007C37F0" w:rsidRDefault="00BF0EB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342</w:t>
            </w:r>
          </w:p>
        </w:tc>
        <w:tc>
          <w:tcPr>
            <w:tcW w:w="3180" w:type="dxa"/>
            <w:tcMar>
              <w:top w:w="0" w:type="dxa"/>
              <w:bottom w:w="0" w:type="dxa"/>
            </w:tcMar>
            <w:vAlign w:val="center"/>
          </w:tcPr>
          <w:p w:rsidR="007C37F0" w:rsidRDefault="00BF0EB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7C37F0" w:rsidRDefault="00BF0EB0">
            <w:pPr>
              <w:keepNext/>
              <w:keepLines/>
              <w:spacing w:after="0" w:line="240" w:lineRule="auto"/>
            </w:pPr>
            <w:r>
              <w:rPr>
                <w:sz w:val="18"/>
              </w:rPr>
              <w:t>342</w:t>
            </w:r>
          </w:p>
        </w:tc>
        <w:tc>
          <w:tcPr>
            <w:tcW w:w="1860" w:type="dxa"/>
            <w:tcMar>
              <w:top w:w="0" w:type="dxa"/>
              <w:bottom w:w="0" w:type="dxa"/>
            </w:tcMar>
            <w:vAlign w:val="center"/>
          </w:tcPr>
          <w:p w:rsidR="007C37F0" w:rsidRDefault="00BF0EB0">
            <w:pPr>
              <w:keepNext/>
              <w:keepLines/>
              <w:spacing w:after="0" w:line="240" w:lineRule="auto"/>
              <w:jc w:val="right"/>
            </w:pPr>
            <w:r>
              <w:rPr>
                <w:sz w:val="18"/>
              </w:rPr>
              <w:t>104.764,03</w:t>
            </w:r>
          </w:p>
        </w:tc>
        <w:tc>
          <w:tcPr>
            <w:tcW w:w="1860" w:type="dxa"/>
            <w:tcMar>
              <w:top w:w="0" w:type="dxa"/>
              <w:bottom w:w="0" w:type="dxa"/>
            </w:tcMar>
            <w:vAlign w:val="center"/>
          </w:tcPr>
          <w:p w:rsidR="007C37F0" w:rsidRDefault="00BF0EB0">
            <w:pPr>
              <w:keepNext/>
              <w:keepLines/>
              <w:spacing w:after="0" w:line="240" w:lineRule="auto"/>
              <w:jc w:val="right"/>
            </w:pPr>
            <w:r>
              <w:rPr>
                <w:sz w:val="18"/>
              </w:rPr>
              <w:t>111.042,94</w:t>
            </w:r>
          </w:p>
        </w:tc>
        <w:tc>
          <w:tcPr>
            <w:tcW w:w="700" w:type="dxa"/>
            <w:tcMar>
              <w:top w:w="0" w:type="dxa"/>
              <w:bottom w:w="0" w:type="dxa"/>
            </w:tcMar>
            <w:vAlign w:val="center"/>
          </w:tcPr>
          <w:p w:rsidR="007C37F0" w:rsidRDefault="00BF0EB0">
            <w:pPr>
              <w:keepNext/>
              <w:keepLines/>
              <w:spacing w:after="0" w:line="240" w:lineRule="auto"/>
              <w:jc w:val="right"/>
            </w:pPr>
            <w:r>
              <w:rPr>
                <w:sz w:val="18"/>
              </w:rPr>
              <w:t>106,0</w:t>
            </w:r>
          </w:p>
        </w:tc>
      </w:tr>
    </w:tbl>
    <w:p w:rsidR="007C37F0" w:rsidRDefault="007C37F0">
      <w:pPr>
        <w:spacing w:after="0"/>
      </w:pPr>
    </w:p>
    <w:p w:rsidR="007C37F0" w:rsidRDefault="00BF0EB0" w:rsidP="00FD1901">
      <w:pPr>
        <w:jc w:val="both"/>
      </w:pPr>
      <w:r>
        <w:t xml:space="preserve">Ukupni troškovi u promatranom razdoblju iznose 111.042,94 eura, što predstavlja povećanje od 6,00%, odnosno 6.278,91 eura, u odnosu na isto razdoblje prethodne, 2024. godine. Povećanje troškova evidentirano je kod kamata na okvirni Cash </w:t>
      </w:r>
      <w:proofErr w:type="spellStart"/>
      <w:r>
        <w:t>pool</w:t>
      </w:r>
      <w:proofErr w:type="spellEnd"/>
      <w:r>
        <w:t xml:space="preserve"> kredit, koje su porasle za 112,18% zbog većeg korištenja kredita. Smanjenje je zabilježeno kod kamata za primljene kredite i zajmove od HBOR-a, budući da se otplatom glavnice smanjuju pripadajuće kamate.</w:t>
      </w:r>
    </w:p>
    <w:p w:rsidR="007C37F0" w:rsidRDefault="007C37F0"/>
    <w:p w:rsidR="007C37F0" w:rsidRDefault="00BF0EB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343</w:t>
            </w:r>
          </w:p>
        </w:tc>
        <w:tc>
          <w:tcPr>
            <w:tcW w:w="3180" w:type="dxa"/>
            <w:tcMar>
              <w:top w:w="0" w:type="dxa"/>
              <w:bottom w:w="0" w:type="dxa"/>
            </w:tcMar>
            <w:vAlign w:val="center"/>
          </w:tcPr>
          <w:p w:rsidR="007C37F0" w:rsidRDefault="00BF0EB0">
            <w:pPr>
              <w:keepNext/>
              <w:keepLines/>
              <w:spacing w:after="0" w:line="240" w:lineRule="auto"/>
            </w:pPr>
            <w:r>
              <w:rPr>
                <w:sz w:val="18"/>
              </w:rPr>
              <w:t>Ostali financijski rashodi (šifre 3431 do 3434)</w:t>
            </w:r>
          </w:p>
        </w:tc>
        <w:tc>
          <w:tcPr>
            <w:tcW w:w="700" w:type="dxa"/>
            <w:tcMar>
              <w:top w:w="0" w:type="dxa"/>
              <w:bottom w:w="0" w:type="dxa"/>
            </w:tcMar>
            <w:vAlign w:val="center"/>
          </w:tcPr>
          <w:p w:rsidR="007C37F0" w:rsidRDefault="00BF0EB0">
            <w:pPr>
              <w:keepNext/>
              <w:keepLines/>
              <w:spacing w:after="0" w:line="240" w:lineRule="auto"/>
            </w:pPr>
            <w:r>
              <w:rPr>
                <w:sz w:val="18"/>
              </w:rPr>
              <w:t>343</w:t>
            </w:r>
          </w:p>
        </w:tc>
        <w:tc>
          <w:tcPr>
            <w:tcW w:w="1860" w:type="dxa"/>
            <w:tcMar>
              <w:top w:w="0" w:type="dxa"/>
              <w:bottom w:w="0" w:type="dxa"/>
            </w:tcMar>
            <w:vAlign w:val="center"/>
          </w:tcPr>
          <w:p w:rsidR="007C37F0" w:rsidRDefault="00BF0EB0">
            <w:pPr>
              <w:keepNext/>
              <w:keepLines/>
              <w:spacing w:after="0" w:line="240" w:lineRule="auto"/>
              <w:jc w:val="right"/>
            </w:pPr>
            <w:r>
              <w:rPr>
                <w:sz w:val="18"/>
              </w:rPr>
              <w:t>51.708,64</w:t>
            </w:r>
          </w:p>
        </w:tc>
        <w:tc>
          <w:tcPr>
            <w:tcW w:w="1860" w:type="dxa"/>
            <w:tcMar>
              <w:top w:w="0" w:type="dxa"/>
              <w:bottom w:w="0" w:type="dxa"/>
            </w:tcMar>
            <w:vAlign w:val="center"/>
          </w:tcPr>
          <w:p w:rsidR="007C37F0" w:rsidRDefault="00BF0EB0">
            <w:pPr>
              <w:keepNext/>
              <w:keepLines/>
              <w:spacing w:after="0" w:line="240" w:lineRule="auto"/>
              <w:jc w:val="right"/>
            </w:pPr>
            <w:r>
              <w:rPr>
                <w:sz w:val="18"/>
              </w:rPr>
              <w:t>39.438,39</w:t>
            </w:r>
          </w:p>
        </w:tc>
        <w:tc>
          <w:tcPr>
            <w:tcW w:w="700" w:type="dxa"/>
            <w:tcMar>
              <w:top w:w="0" w:type="dxa"/>
              <w:bottom w:w="0" w:type="dxa"/>
            </w:tcMar>
            <w:vAlign w:val="center"/>
          </w:tcPr>
          <w:p w:rsidR="007C37F0" w:rsidRDefault="00BF0EB0">
            <w:pPr>
              <w:keepNext/>
              <w:keepLines/>
              <w:spacing w:after="0" w:line="240" w:lineRule="auto"/>
              <w:jc w:val="right"/>
            </w:pPr>
            <w:r>
              <w:rPr>
                <w:sz w:val="18"/>
              </w:rPr>
              <w:t>76,3</w:t>
            </w:r>
          </w:p>
        </w:tc>
      </w:tr>
    </w:tbl>
    <w:p w:rsidR="007C37F0" w:rsidRDefault="007C37F0">
      <w:pPr>
        <w:spacing w:after="0"/>
      </w:pPr>
    </w:p>
    <w:p w:rsidR="007C37F0" w:rsidRDefault="00BF0EB0">
      <w:r>
        <w:t>U odnosu na isto razdoblje prethodne, 2024. godine, ukupni troškovi bilježe smanjenje od 23,70%, odnosno 12.270,25 eura. Smanjenje je prvenstveno rezultat nižih troškova bankarskih usluga i usluga platnog prometa za 28,00% te smanjenja zateznih kamata za 11,00% - provedeni pregovori s dobavljačima o otpisu zateznih kamata.</w:t>
      </w:r>
    </w:p>
    <w:p w:rsidR="007C37F0" w:rsidRDefault="00BF0EB0">
      <w:r>
        <w:t>Istodobno je zabilježen porast troškova negativnih tečajnih razlika za 225,00%, što je posljedica preračuna strane valute na datum bilance. </w:t>
      </w:r>
    </w:p>
    <w:p w:rsidR="007C37F0" w:rsidRDefault="007C37F0"/>
    <w:p w:rsidR="007C37F0" w:rsidRDefault="00BF0EB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372</w:t>
            </w:r>
          </w:p>
        </w:tc>
        <w:tc>
          <w:tcPr>
            <w:tcW w:w="3180" w:type="dxa"/>
            <w:tcMar>
              <w:top w:w="0" w:type="dxa"/>
              <w:bottom w:w="0" w:type="dxa"/>
            </w:tcMar>
            <w:vAlign w:val="center"/>
          </w:tcPr>
          <w:p w:rsidR="007C37F0" w:rsidRDefault="00BF0EB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7C37F0" w:rsidRDefault="00BF0EB0">
            <w:pPr>
              <w:keepNext/>
              <w:keepLines/>
              <w:spacing w:after="0" w:line="240" w:lineRule="auto"/>
            </w:pPr>
            <w:r>
              <w:rPr>
                <w:sz w:val="18"/>
              </w:rPr>
              <w:t>372</w:t>
            </w:r>
          </w:p>
        </w:tc>
        <w:tc>
          <w:tcPr>
            <w:tcW w:w="1860" w:type="dxa"/>
            <w:tcMar>
              <w:top w:w="0" w:type="dxa"/>
              <w:bottom w:w="0" w:type="dxa"/>
            </w:tcMar>
            <w:vAlign w:val="center"/>
          </w:tcPr>
          <w:p w:rsidR="007C37F0" w:rsidRDefault="00BF0EB0">
            <w:pPr>
              <w:keepNext/>
              <w:keepLines/>
              <w:spacing w:after="0" w:line="240" w:lineRule="auto"/>
              <w:jc w:val="right"/>
            </w:pPr>
            <w:r>
              <w:rPr>
                <w:sz w:val="18"/>
              </w:rPr>
              <w:t>3.344,76</w:t>
            </w:r>
          </w:p>
        </w:tc>
        <w:tc>
          <w:tcPr>
            <w:tcW w:w="1860" w:type="dxa"/>
            <w:tcMar>
              <w:top w:w="0" w:type="dxa"/>
              <w:bottom w:w="0" w:type="dxa"/>
            </w:tcMar>
            <w:vAlign w:val="center"/>
          </w:tcPr>
          <w:p w:rsidR="007C37F0" w:rsidRDefault="00BF0EB0">
            <w:pPr>
              <w:keepNext/>
              <w:keepLines/>
              <w:spacing w:after="0" w:line="240" w:lineRule="auto"/>
              <w:jc w:val="right"/>
            </w:pPr>
            <w:r>
              <w:rPr>
                <w:sz w:val="18"/>
              </w:rPr>
              <w:t>2.973,12</w:t>
            </w:r>
          </w:p>
        </w:tc>
        <w:tc>
          <w:tcPr>
            <w:tcW w:w="700" w:type="dxa"/>
            <w:tcMar>
              <w:top w:w="0" w:type="dxa"/>
              <w:bottom w:w="0" w:type="dxa"/>
            </w:tcMar>
            <w:vAlign w:val="center"/>
          </w:tcPr>
          <w:p w:rsidR="007C37F0" w:rsidRDefault="00BF0EB0">
            <w:pPr>
              <w:keepNext/>
              <w:keepLines/>
              <w:spacing w:after="0" w:line="240" w:lineRule="auto"/>
              <w:jc w:val="right"/>
            </w:pPr>
            <w:r>
              <w:rPr>
                <w:sz w:val="18"/>
              </w:rPr>
              <w:t>88,9</w:t>
            </w:r>
          </w:p>
        </w:tc>
      </w:tr>
    </w:tbl>
    <w:p w:rsidR="007C37F0" w:rsidRDefault="007C37F0">
      <w:pPr>
        <w:spacing w:after="0"/>
      </w:pPr>
    </w:p>
    <w:p w:rsidR="007C37F0" w:rsidRDefault="00BF0EB0">
      <w:r>
        <w:t>Ostvareni trošak iznosi 2.973,12 eura, što je manje za 11,10% u odnosu na isto razdoblje prethodne godine. Trošak se odnosi na stipendije za djecu preminulih radnika. Trenutno pravo na stipendiju ostvaruje dvoje djece, prethodne godine troje. Navedenu naknadu do konca mjeseca kolovoza ostvarivalo je troje djece, od mjeseca rujna samo dvoje.</w:t>
      </w:r>
    </w:p>
    <w:p w:rsidR="007C37F0" w:rsidRDefault="007C37F0"/>
    <w:p w:rsidR="007C37F0" w:rsidRDefault="00BF0EB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VIŠAK PRIHODA POSLOVANJA (šifre 6-Z005)</w:t>
            </w:r>
          </w:p>
        </w:tc>
        <w:tc>
          <w:tcPr>
            <w:tcW w:w="700" w:type="dxa"/>
            <w:tcMar>
              <w:top w:w="0" w:type="dxa"/>
              <w:bottom w:w="0" w:type="dxa"/>
            </w:tcMar>
            <w:vAlign w:val="center"/>
          </w:tcPr>
          <w:p w:rsidR="007C37F0" w:rsidRDefault="00BF0EB0">
            <w:pPr>
              <w:keepNext/>
              <w:keepLines/>
              <w:spacing w:after="0" w:line="240" w:lineRule="auto"/>
            </w:pPr>
            <w:r>
              <w:rPr>
                <w:sz w:val="18"/>
              </w:rPr>
              <w:t>X001</w:t>
            </w:r>
          </w:p>
        </w:tc>
        <w:tc>
          <w:tcPr>
            <w:tcW w:w="1860" w:type="dxa"/>
            <w:tcMar>
              <w:top w:w="0" w:type="dxa"/>
              <w:bottom w:w="0" w:type="dxa"/>
            </w:tcMar>
            <w:vAlign w:val="center"/>
          </w:tcPr>
          <w:p w:rsidR="007C37F0" w:rsidRDefault="00BF0EB0">
            <w:pPr>
              <w:keepNext/>
              <w:keepLines/>
              <w:spacing w:after="0" w:line="240" w:lineRule="auto"/>
              <w:jc w:val="right"/>
            </w:pPr>
            <w:r>
              <w:rPr>
                <w:sz w:val="18"/>
              </w:rPr>
              <w:t>2.374.190,17</w:t>
            </w:r>
          </w:p>
        </w:tc>
        <w:tc>
          <w:tcPr>
            <w:tcW w:w="1860" w:type="dxa"/>
            <w:tcMar>
              <w:top w:w="0" w:type="dxa"/>
              <w:bottom w:w="0" w:type="dxa"/>
            </w:tcMar>
            <w:vAlign w:val="center"/>
          </w:tcPr>
          <w:p w:rsidR="007C37F0" w:rsidRDefault="00BF0EB0">
            <w:pPr>
              <w:keepNext/>
              <w:keepLines/>
              <w:spacing w:after="0" w:line="240" w:lineRule="auto"/>
              <w:jc w:val="right"/>
            </w:pPr>
            <w:r>
              <w:rPr>
                <w:sz w:val="18"/>
              </w:rPr>
              <w:t>7.225.212,79</w:t>
            </w:r>
          </w:p>
        </w:tc>
        <w:tc>
          <w:tcPr>
            <w:tcW w:w="700" w:type="dxa"/>
            <w:tcMar>
              <w:top w:w="0" w:type="dxa"/>
              <w:bottom w:w="0" w:type="dxa"/>
            </w:tcMar>
            <w:vAlign w:val="center"/>
          </w:tcPr>
          <w:p w:rsidR="007C37F0" w:rsidRDefault="00BF0EB0">
            <w:pPr>
              <w:keepNext/>
              <w:keepLines/>
              <w:spacing w:after="0" w:line="240" w:lineRule="auto"/>
              <w:jc w:val="right"/>
            </w:pPr>
            <w:r>
              <w:rPr>
                <w:sz w:val="18"/>
              </w:rPr>
              <w:t>304,3</w:t>
            </w:r>
          </w:p>
        </w:tc>
      </w:tr>
    </w:tbl>
    <w:p w:rsidR="007C37F0" w:rsidRDefault="007C37F0">
      <w:pPr>
        <w:spacing w:after="0"/>
      </w:pPr>
    </w:p>
    <w:p w:rsidR="007C37F0" w:rsidRDefault="00BF0EB0" w:rsidP="00FD1901">
      <w:pPr>
        <w:jc w:val="both"/>
      </w:pPr>
      <w:r>
        <w:t>U poslovnoj godini evidentiran je veći višak prihoda poslovanja za 204,30% u odnosu na prethodnu godinu. </w:t>
      </w:r>
    </w:p>
    <w:p w:rsidR="007C37F0" w:rsidRDefault="00BF0EB0" w:rsidP="00FD1901">
      <w:pPr>
        <w:jc w:val="both"/>
      </w:pPr>
      <w:r>
        <w:t>Evidentirani višak prihoda poslovanja tekuće proračunske godine iznosi 7.225.212,79 eura, Na navedenom rezultatu napravljena je obvezna korekcija rezultata redovnog poslovanja (umanjenje) (3/6) u iznosu od 9.522.743,39 eura za kapitalne prijenose i financijske prijenose (otplatu kredita iz decentralizacije). Nakon provedenih obveznih korekcija rezultat godine poprima negativan rezultat i iznosi -2.297.530,60 eura.</w:t>
      </w:r>
    </w:p>
    <w:p w:rsidR="007C37F0" w:rsidRDefault="00BF0EB0" w:rsidP="00FD1901">
      <w:pPr>
        <w:jc w:val="both"/>
      </w:pPr>
      <w:r>
        <w:rPr>
          <w:b/>
          <w:i/>
        </w:rPr>
        <w:t>Obvezna  korekcija rezultata za kapitalne prijenose na nefinancijsku imovinu iznosi 9.038.452,42 eura, a odnosi se na</w:t>
      </w:r>
      <w:r>
        <w:rPr>
          <w:i/>
        </w:rPr>
        <w:t>:</w:t>
      </w:r>
    </w:p>
    <w:p w:rsidR="007C37F0" w:rsidRDefault="00BF0EB0" w:rsidP="00FD1901">
      <w:pPr>
        <w:jc w:val="both"/>
      </w:pPr>
      <w:r>
        <w:lastRenderedPageBreak/>
        <w:t>638 – pomoći iz državnog proračuna temeljem prijenosa EU sredstava - sredstva doznačena iz EU fondova za financiranje troškova radova i usluga za projekt "Unaprjeđenje kvalitete smještaja i sadržaja hotela Minerva - Varaždinske Toplice" u iznosu 8.587.057,73 eura,</w:t>
      </w:r>
    </w:p>
    <w:p w:rsidR="007C37F0" w:rsidRDefault="00BF0EB0" w:rsidP="00FD1901">
      <w:pPr>
        <w:jc w:val="both"/>
      </w:pPr>
      <w:r>
        <w:t>652 – prihodi s naslova osiguranja, refundacija štete u iznosu 2.272,64 eura (računala i računalna oprema, oprema za grijanje, hlađenje i ostala oprema za održavanje i zaštitu),</w:t>
      </w:r>
    </w:p>
    <w:p w:rsidR="007C37F0" w:rsidRDefault="00BF0EB0" w:rsidP="00FD1901">
      <w:pPr>
        <w:jc w:val="both"/>
      </w:pPr>
      <w:r>
        <w:t>661 – prihodi od prodaje proizvoda, roba i pruženih usluga u iznosu 103.625,44 eura (medicinska oprema, uredska oprema i namještaj, dodatna ulaganja, licence, računalni programi),</w:t>
      </w:r>
    </w:p>
    <w:p w:rsidR="007C37F0" w:rsidRDefault="00BF0EB0" w:rsidP="00FD1901">
      <w:pPr>
        <w:jc w:val="both"/>
      </w:pPr>
      <w:r>
        <w:t>671 – decentralizirana sredstva za financiranje rashoda za nabavu nefinancijske imovine (nabava medicinske opreme) u iznosu 175.300,00 eura,</w:t>
      </w:r>
    </w:p>
    <w:p w:rsidR="007C37F0" w:rsidRDefault="00BF0EB0" w:rsidP="00FD1901">
      <w:pPr>
        <w:jc w:val="both"/>
      </w:pPr>
      <w:r>
        <w:t>671 – sredstva iznad zakonskog standarda za financiranje rashoda za nabavu nefinancijske imovine (uredska oprema i namještaj, nabava medicinske opreme i dodatna ulaganja) u iznosu 169.895,61 eura,</w:t>
      </w:r>
    </w:p>
    <w:p w:rsidR="007C37F0" w:rsidRDefault="00BF0EB0" w:rsidP="00FD1901">
      <w:pPr>
        <w:jc w:val="both"/>
      </w:pPr>
      <w:r>
        <w:t>663 – donacije za financiranje rashoda za nabavu nefinancijske imovine (sportska i glazbena oprema) u iznosu 300,00 eura.</w:t>
      </w:r>
    </w:p>
    <w:p w:rsidR="007C37F0" w:rsidRDefault="00BF0EB0" w:rsidP="00FD1901">
      <w:pPr>
        <w:jc w:val="both"/>
      </w:pPr>
      <w:r>
        <w:rPr>
          <w:b/>
          <w:i/>
        </w:rPr>
        <w:t>Obvezna korekcija rezultata zbog financijskih prijenosa na financijsku imovinu iznosi 484.290,97 eura, a odnosi se na:</w:t>
      </w:r>
    </w:p>
    <w:p w:rsidR="007C37F0" w:rsidRDefault="00BF0EB0" w:rsidP="00FD1901">
      <w:pPr>
        <w:jc w:val="both"/>
      </w:pPr>
      <w:r>
        <w:t>671 – decentralizirana sredstva u iznosu 484.290,97 eura za otplatu glavnice po investicijskim kreditima.</w:t>
      </w:r>
    </w:p>
    <w:p w:rsidR="007C37F0" w:rsidRDefault="007C37F0"/>
    <w:p w:rsidR="007C37F0" w:rsidRDefault="00BF0EB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92221</w:t>
            </w:r>
          </w:p>
        </w:tc>
        <w:tc>
          <w:tcPr>
            <w:tcW w:w="3180" w:type="dxa"/>
            <w:tcMar>
              <w:top w:w="0" w:type="dxa"/>
              <w:bottom w:w="0" w:type="dxa"/>
            </w:tcMar>
            <w:vAlign w:val="center"/>
          </w:tcPr>
          <w:p w:rsidR="007C37F0" w:rsidRDefault="00BF0EB0">
            <w:pPr>
              <w:keepNext/>
              <w:keepLines/>
              <w:spacing w:after="0" w:line="240" w:lineRule="auto"/>
            </w:pPr>
            <w:r>
              <w:rPr>
                <w:sz w:val="18"/>
              </w:rPr>
              <w:t>Manjak prihoda poslovanja - preneseni</w:t>
            </w:r>
          </w:p>
        </w:tc>
        <w:tc>
          <w:tcPr>
            <w:tcW w:w="700" w:type="dxa"/>
            <w:tcMar>
              <w:top w:w="0" w:type="dxa"/>
              <w:bottom w:w="0" w:type="dxa"/>
            </w:tcMar>
            <w:vAlign w:val="center"/>
          </w:tcPr>
          <w:p w:rsidR="007C37F0" w:rsidRDefault="00BF0EB0">
            <w:pPr>
              <w:keepNext/>
              <w:keepLines/>
              <w:spacing w:after="0" w:line="240" w:lineRule="auto"/>
            </w:pPr>
            <w:r>
              <w:rPr>
                <w:sz w:val="18"/>
              </w:rPr>
              <w:t>92221</w:t>
            </w:r>
          </w:p>
        </w:tc>
        <w:tc>
          <w:tcPr>
            <w:tcW w:w="1860" w:type="dxa"/>
            <w:tcMar>
              <w:top w:w="0" w:type="dxa"/>
              <w:bottom w:w="0" w:type="dxa"/>
            </w:tcMar>
            <w:vAlign w:val="center"/>
          </w:tcPr>
          <w:p w:rsidR="007C37F0" w:rsidRDefault="00BF0EB0">
            <w:pPr>
              <w:keepNext/>
              <w:keepLines/>
              <w:spacing w:after="0" w:line="240" w:lineRule="auto"/>
              <w:jc w:val="right"/>
            </w:pPr>
            <w:r>
              <w:rPr>
                <w:sz w:val="18"/>
              </w:rPr>
              <w:t>1.220.253,21</w:t>
            </w:r>
          </w:p>
        </w:tc>
        <w:tc>
          <w:tcPr>
            <w:tcW w:w="1860" w:type="dxa"/>
            <w:tcMar>
              <w:top w:w="0" w:type="dxa"/>
              <w:bottom w:w="0" w:type="dxa"/>
            </w:tcMar>
            <w:vAlign w:val="center"/>
          </w:tcPr>
          <w:p w:rsidR="007C37F0" w:rsidRDefault="00BF0EB0">
            <w:pPr>
              <w:keepNext/>
              <w:keepLines/>
              <w:spacing w:after="0" w:line="240" w:lineRule="auto"/>
              <w:jc w:val="right"/>
            </w:pPr>
            <w:r>
              <w:rPr>
                <w:sz w:val="18"/>
              </w:rPr>
              <w:t>151.013,93</w:t>
            </w:r>
          </w:p>
        </w:tc>
        <w:tc>
          <w:tcPr>
            <w:tcW w:w="700" w:type="dxa"/>
            <w:tcMar>
              <w:top w:w="0" w:type="dxa"/>
              <w:bottom w:w="0" w:type="dxa"/>
            </w:tcMar>
            <w:vAlign w:val="center"/>
          </w:tcPr>
          <w:p w:rsidR="007C37F0" w:rsidRDefault="00BF0EB0">
            <w:pPr>
              <w:keepNext/>
              <w:keepLines/>
              <w:spacing w:after="0" w:line="240" w:lineRule="auto"/>
              <w:jc w:val="right"/>
            </w:pPr>
            <w:r>
              <w:rPr>
                <w:sz w:val="18"/>
              </w:rPr>
              <w:t>12,4</w:t>
            </w:r>
          </w:p>
        </w:tc>
      </w:tr>
    </w:tbl>
    <w:p w:rsidR="007C37F0" w:rsidRDefault="007C37F0">
      <w:pPr>
        <w:spacing w:after="0"/>
      </w:pPr>
    </w:p>
    <w:p w:rsidR="007C37F0" w:rsidRDefault="00BF0EB0" w:rsidP="00FD1901">
      <w:pPr>
        <w:jc w:val="both"/>
      </w:pPr>
      <w:r>
        <w:t>Preneseni manjak prihoda poslovanja iz prethodne godine iznosi 151.013,93 eura koji se sastoji od početnog stanja na dan 01.01.2025. godine u iznosu 145.452,76 i korekcije rezultata poslovanja iz prethodnih godina u iznosu od 5.561,17 eura.</w:t>
      </w:r>
    </w:p>
    <w:p w:rsidR="007C37F0" w:rsidRDefault="00BF0EB0" w:rsidP="00FD1901">
      <w:pPr>
        <w:jc w:val="both"/>
      </w:pPr>
      <w:r>
        <w:rPr>
          <w:b/>
        </w:rPr>
        <w:t>Obrazloženje korekcije rezultata: </w:t>
      </w:r>
    </w:p>
    <w:p w:rsidR="007C37F0" w:rsidRDefault="00BF0EB0" w:rsidP="00FD1901">
      <w:pPr>
        <w:pStyle w:val="Odlomakpopisa"/>
        <w:numPr>
          <w:ilvl w:val="0"/>
          <w:numId w:val="1"/>
        </w:numPr>
        <w:jc w:val="both"/>
      </w:pPr>
      <w:r>
        <w:t>Od trgovačkog društva NTL Varaždin krajem poslovne 2024. godine zaprimljena je uplata na račun bolnice umjesto na račun Sindikata bolnice u iznosu od 16,02 eura. Početkom 2025. godine od navedenog društva zaprimljen je zahtjev za povrat navedenog iznosa. Budući da je u poslovnoj 2024. godini navedeni iznos bio iskazan kao prihod poslovanja na kontu 661, čime je ostvaren veći višak prihoda poslovanja, u poslovnoj 2025. godini izvršen je povrat zatraženih sredstava. Istodobno je provedena računovodstvena korekcija na način da je iskazan manjak prihoda poslovanja iz prethodnih godina na kontu 92224 te je povećan preneseni manjak prihoda poslovanja na kontu 92221 za iznos od 16,02 eura. </w:t>
      </w:r>
    </w:p>
    <w:p w:rsidR="007C37F0" w:rsidRDefault="00BF0EB0" w:rsidP="00FD1901">
      <w:pPr>
        <w:pStyle w:val="Odlomakpopisa"/>
        <w:numPr>
          <w:ilvl w:val="0"/>
          <w:numId w:val="1"/>
        </w:numPr>
        <w:ind w:left="0"/>
        <w:jc w:val="both"/>
      </w:pPr>
      <w:r>
        <w:t xml:space="preserve">Od Hrvatskog zavoda za zapošljavanje (HZZ) u prethodnim godinama zaprimljen je predujam za financiranje plaća pripravnika medicinske struke. Naknadnim usklađenjem s HZZ-om, </w:t>
      </w:r>
      <w:r>
        <w:lastRenderedPageBreak/>
        <w:t>provedenim na zahtjev bolnice u drugoj polovici poslovne 2025. godine, utvrđeno je da su za pojedine pripravnike predujmovi bili previše zatvoreni zbog evidentiranih bolovanja i obračuna putnih troškova koji, sukladno pravilima financiranja, nisu trebali biti pokriveni doznačenim predujmom. Naime, bolovanja se nisu financirala iz navedenog predujma, kao ni putni troškovi za razdoblja u kojima pripravnici nisu radili zbog bolovanja. Slijedom navedenog, zaprimljen je zahtjev HZZ-a za povrat neiskorištenih sredstava koji se odnosi na razdoblje 2022. – 2023. godine, te su sredstva u ukupnom iznosu od 5.545,15 eura vraćena. Budući da su navedena sredstva u prethodnim godinama bila iskazana kao prihodi poslovanja po osnovi pomoći, u 2025. godini provedena je računovodstvena korekcija na način da je iskazan manjak prihoda poslovanja iz prethodnih godina na kontu 92224, uz istodobno povećanje prenesenog manjka prihoda za navedeni iznos.</w:t>
      </w:r>
    </w:p>
    <w:p w:rsidR="007C37F0" w:rsidRDefault="007C37F0"/>
    <w:p w:rsidR="007C37F0" w:rsidRDefault="00BF0EB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9661</w:t>
            </w:r>
          </w:p>
        </w:tc>
        <w:tc>
          <w:tcPr>
            <w:tcW w:w="3180" w:type="dxa"/>
            <w:tcMar>
              <w:top w:w="0" w:type="dxa"/>
              <w:bottom w:w="0" w:type="dxa"/>
            </w:tcMar>
            <w:vAlign w:val="center"/>
          </w:tcPr>
          <w:p w:rsidR="007C37F0" w:rsidRDefault="00BF0EB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7C37F0" w:rsidRDefault="00BF0EB0">
            <w:pPr>
              <w:keepNext/>
              <w:keepLines/>
              <w:spacing w:after="0" w:line="240" w:lineRule="auto"/>
            </w:pPr>
            <w:r>
              <w:rPr>
                <w:sz w:val="18"/>
              </w:rPr>
              <w:t>9661</w:t>
            </w:r>
          </w:p>
        </w:tc>
        <w:tc>
          <w:tcPr>
            <w:tcW w:w="1860" w:type="dxa"/>
            <w:tcMar>
              <w:top w:w="0" w:type="dxa"/>
              <w:bottom w:w="0" w:type="dxa"/>
            </w:tcMar>
            <w:vAlign w:val="center"/>
          </w:tcPr>
          <w:p w:rsidR="007C37F0" w:rsidRDefault="00BF0EB0">
            <w:pPr>
              <w:keepNext/>
              <w:keepLines/>
              <w:spacing w:after="0" w:line="240" w:lineRule="auto"/>
              <w:jc w:val="right"/>
            </w:pPr>
            <w:r>
              <w:rPr>
                <w:sz w:val="18"/>
              </w:rPr>
              <w:t>383.901,43</w:t>
            </w:r>
          </w:p>
        </w:tc>
        <w:tc>
          <w:tcPr>
            <w:tcW w:w="1860" w:type="dxa"/>
            <w:tcMar>
              <w:top w:w="0" w:type="dxa"/>
              <w:bottom w:w="0" w:type="dxa"/>
            </w:tcMar>
            <w:vAlign w:val="center"/>
          </w:tcPr>
          <w:p w:rsidR="007C37F0" w:rsidRDefault="00BF0EB0">
            <w:pPr>
              <w:keepNext/>
              <w:keepLines/>
              <w:spacing w:after="0" w:line="240" w:lineRule="auto"/>
              <w:jc w:val="right"/>
            </w:pPr>
            <w:r>
              <w:rPr>
                <w:sz w:val="18"/>
              </w:rPr>
              <w:t>433.899,30</w:t>
            </w:r>
          </w:p>
        </w:tc>
        <w:tc>
          <w:tcPr>
            <w:tcW w:w="700" w:type="dxa"/>
            <w:tcMar>
              <w:top w:w="0" w:type="dxa"/>
              <w:bottom w:w="0" w:type="dxa"/>
            </w:tcMar>
            <w:vAlign w:val="center"/>
          </w:tcPr>
          <w:p w:rsidR="007C37F0" w:rsidRDefault="00BF0EB0">
            <w:pPr>
              <w:keepNext/>
              <w:keepLines/>
              <w:spacing w:after="0" w:line="240" w:lineRule="auto"/>
              <w:jc w:val="right"/>
            </w:pPr>
            <w:r>
              <w:rPr>
                <w:sz w:val="18"/>
              </w:rPr>
              <w:t>113,0</w:t>
            </w:r>
          </w:p>
        </w:tc>
      </w:tr>
    </w:tbl>
    <w:p w:rsidR="007C37F0" w:rsidRDefault="007C37F0">
      <w:pPr>
        <w:spacing w:after="0"/>
      </w:pPr>
    </w:p>
    <w:p w:rsidR="007C37F0" w:rsidRDefault="00BF0EB0" w:rsidP="00FD1901">
      <w:pPr>
        <w:jc w:val="both"/>
      </w:pPr>
      <w:r>
        <w:t xml:space="preserve">U tekućoj godini prihodi su povećani za 13,00% ili 49.997,87 eura, te ukupno iznose 433.899,30 eura. Veći obračunati prihodi od prodaje i usluga rezultat su još uvijek neplaćenih faktura ispostavljenih na osobno zaduženje, trgovačka društva ili treće osobe, a naplata se očekuje u skladu s uvjetima dospijeća. Na obračunatim prihodima evidentiraju se i potraživanja koja su već utužena, ali do sada nisu naplaćena.  Ova situacija ukazuje na postojeće </w:t>
      </w:r>
      <w:proofErr w:type="spellStart"/>
      <w:r>
        <w:t>nesrazmjere</w:t>
      </w:r>
      <w:proofErr w:type="spellEnd"/>
      <w:r>
        <w:t xml:space="preserve"> između obračunatih prihoda i stvarne naplate, pri čemu se naplata očekuje u valuti dospijeća, uključujući naplatu utuženih potraživanja.</w:t>
      </w:r>
    </w:p>
    <w:p w:rsidR="007C37F0" w:rsidRDefault="007C37F0"/>
    <w:p w:rsidR="007C37F0" w:rsidRDefault="00BF0EB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9673</w:t>
            </w:r>
          </w:p>
        </w:tc>
        <w:tc>
          <w:tcPr>
            <w:tcW w:w="3180" w:type="dxa"/>
            <w:tcMar>
              <w:top w:w="0" w:type="dxa"/>
              <w:bottom w:w="0" w:type="dxa"/>
            </w:tcMar>
            <w:vAlign w:val="center"/>
          </w:tcPr>
          <w:p w:rsidR="007C37F0" w:rsidRDefault="00BF0EB0">
            <w:pPr>
              <w:keepNext/>
              <w:keepLines/>
              <w:spacing w:after="0" w:line="240" w:lineRule="auto"/>
            </w:pPr>
            <w:r>
              <w:rPr>
                <w:sz w:val="18"/>
              </w:rPr>
              <w:t>Obračunati prihodi od HZZO-a na temelju ugovornih obveza</w:t>
            </w:r>
          </w:p>
        </w:tc>
        <w:tc>
          <w:tcPr>
            <w:tcW w:w="700" w:type="dxa"/>
            <w:tcMar>
              <w:top w:w="0" w:type="dxa"/>
              <w:bottom w:w="0" w:type="dxa"/>
            </w:tcMar>
            <w:vAlign w:val="center"/>
          </w:tcPr>
          <w:p w:rsidR="007C37F0" w:rsidRDefault="00BF0EB0">
            <w:pPr>
              <w:keepNext/>
              <w:keepLines/>
              <w:spacing w:after="0" w:line="240" w:lineRule="auto"/>
            </w:pPr>
            <w:r>
              <w:rPr>
                <w:sz w:val="18"/>
              </w:rPr>
              <w:t>9673</w:t>
            </w:r>
          </w:p>
        </w:tc>
        <w:tc>
          <w:tcPr>
            <w:tcW w:w="1860" w:type="dxa"/>
            <w:tcMar>
              <w:top w:w="0" w:type="dxa"/>
              <w:bottom w:w="0" w:type="dxa"/>
            </w:tcMar>
            <w:vAlign w:val="center"/>
          </w:tcPr>
          <w:p w:rsidR="007C37F0" w:rsidRDefault="00BF0EB0">
            <w:pPr>
              <w:keepNext/>
              <w:keepLines/>
              <w:spacing w:after="0" w:line="240" w:lineRule="auto"/>
              <w:jc w:val="right"/>
            </w:pPr>
            <w:r>
              <w:rPr>
                <w:sz w:val="18"/>
              </w:rPr>
              <w:t>80.500,64</w:t>
            </w:r>
          </w:p>
        </w:tc>
        <w:tc>
          <w:tcPr>
            <w:tcW w:w="1860" w:type="dxa"/>
            <w:tcMar>
              <w:top w:w="0" w:type="dxa"/>
              <w:bottom w:w="0" w:type="dxa"/>
            </w:tcMar>
            <w:vAlign w:val="center"/>
          </w:tcPr>
          <w:p w:rsidR="007C37F0" w:rsidRDefault="00BF0EB0">
            <w:pPr>
              <w:keepNext/>
              <w:keepLines/>
              <w:spacing w:after="0" w:line="240" w:lineRule="auto"/>
              <w:jc w:val="right"/>
            </w:pPr>
            <w:r>
              <w:rPr>
                <w:sz w:val="18"/>
              </w:rPr>
              <w:t>60.965,20</w:t>
            </w:r>
          </w:p>
        </w:tc>
        <w:tc>
          <w:tcPr>
            <w:tcW w:w="700" w:type="dxa"/>
            <w:tcMar>
              <w:top w:w="0" w:type="dxa"/>
              <w:bottom w:w="0" w:type="dxa"/>
            </w:tcMar>
            <w:vAlign w:val="center"/>
          </w:tcPr>
          <w:p w:rsidR="007C37F0" w:rsidRDefault="00BF0EB0">
            <w:pPr>
              <w:keepNext/>
              <w:keepLines/>
              <w:spacing w:after="0" w:line="240" w:lineRule="auto"/>
              <w:jc w:val="right"/>
            </w:pPr>
            <w:r>
              <w:rPr>
                <w:sz w:val="18"/>
              </w:rPr>
              <w:t>75,7</w:t>
            </w:r>
          </w:p>
        </w:tc>
      </w:tr>
    </w:tbl>
    <w:p w:rsidR="007C37F0" w:rsidRDefault="007C37F0">
      <w:pPr>
        <w:spacing w:after="0"/>
      </w:pPr>
    </w:p>
    <w:p w:rsidR="007C37F0" w:rsidRDefault="00BF0EB0">
      <w:r>
        <w:t>Ukupna potraživanja iznose 60.965,20 eura, što predstavlja smanjenje od 24,30% u odnosu na isto razdoblje prethodne godine. Unutar ove skupine evidentirana su potraživanja za zaštitu zdravlja na radu u iznosu 4.020,11 eura te za INO osiguranike u iznosu 56.945,09 eura.</w:t>
      </w:r>
    </w:p>
    <w:p w:rsidR="007C37F0" w:rsidRDefault="007C37F0"/>
    <w:p w:rsidR="007C37F0" w:rsidRDefault="00BF0EB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72</w:t>
            </w:r>
          </w:p>
        </w:tc>
        <w:tc>
          <w:tcPr>
            <w:tcW w:w="3180" w:type="dxa"/>
            <w:tcMar>
              <w:top w:w="0" w:type="dxa"/>
              <w:bottom w:w="0" w:type="dxa"/>
            </w:tcMar>
            <w:vAlign w:val="center"/>
          </w:tcPr>
          <w:p w:rsidR="007C37F0" w:rsidRDefault="00BF0EB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rsidR="007C37F0" w:rsidRDefault="00BF0EB0">
            <w:pPr>
              <w:keepNext/>
              <w:keepLines/>
              <w:spacing w:after="0" w:line="240" w:lineRule="auto"/>
            </w:pPr>
            <w:r>
              <w:rPr>
                <w:sz w:val="18"/>
              </w:rPr>
              <w:t>72</w:t>
            </w:r>
          </w:p>
        </w:tc>
        <w:tc>
          <w:tcPr>
            <w:tcW w:w="1860" w:type="dxa"/>
            <w:tcMar>
              <w:top w:w="0" w:type="dxa"/>
              <w:bottom w:w="0" w:type="dxa"/>
            </w:tcMar>
            <w:vAlign w:val="center"/>
          </w:tcPr>
          <w:p w:rsidR="007C37F0" w:rsidRDefault="00BF0EB0">
            <w:pPr>
              <w:keepNext/>
              <w:keepLines/>
              <w:spacing w:after="0" w:line="240" w:lineRule="auto"/>
              <w:jc w:val="right"/>
            </w:pPr>
            <w:r>
              <w:rPr>
                <w:sz w:val="18"/>
              </w:rPr>
              <w:t>96,08</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700" w:type="dxa"/>
            <w:tcMar>
              <w:top w:w="0" w:type="dxa"/>
              <w:bottom w:w="0" w:type="dxa"/>
            </w:tcMar>
            <w:vAlign w:val="center"/>
          </w:tcPr>
          <w:p w:rsidR="007C37F0" w:rsidRDefault="00BF0EB0">
            <w:pPr>
              <w:keepNext/>
              <w:keepLines/>
              <w:spacing w:after="0" w:line="240" w:lineRule="auto"/>
              <w:jc w:val="right"/>
            </w:pPr>
            <w:r>
              <w:rPr>
                <w:sz w:val="18"/>
              </w:rPr>
              <w:t>0</w:t>
            </w:r>
          </w:p>
        </w:tc>
      </w:tr>
    </w:tbl>
    <w:p w:rsidR="007C37F0" w:rsidRDefault="007C37F0">
      <w:pPr>
        <w:spacing w:after="0"/>
      </w:pPr>
    </w:p>
    <w:p w:rsidR="007C37F0" w:rsidRDefault="00BF0EB0" w:rsidP="00FD1901">
      <w:pPr>
        <w:jc w:val="both"/>
      </w:pPr>
      <w:r>
        <w:lastRenderedPageBreak/>
        <w:t>Prihod od prodaje građevinskih objekata – prethodne godine evidentiran iznos od 96,08 eura koji se je odnosio na otplatu stanova. Budući da su u tijeku poslovne 2024. godine svi stanovi otplaćeni u poslovnoj 2025. godini nema evidentiranih prihoda s ove osnove.</w:t>
      </w:r>
    </w:p>
    <w:p w:rsidR="007C37F0" w:rsidRDefault="007C37F0"/>
    <w:p w:rsidR="007C37F0" w:rsidRDefault="00BF0EB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412</w:t>
            </w:r>
          </w:p>
        </w:tc>
        <w:tc>
          <w:tcPr>
            <w:tcW w:w="3180" w:type="dxa"/>
            <w:tcMar>
              <w:top w:w="0" w:type="dxa"/>
              <w:bottom w:w="0" w:type="dxa"/>
            </w:tcMar>
            <w:vAlign w:val="center"/>
          </w:tcPr>
          <w:p w:rsidR="007C37F0" w:rsidRDefault="00BF0EB0">
            <w:pPr>
              <w:keepNext/>
              <w:keepLines/>
              <w:spacing w:after="0" w:line="240" w:lineRule="auto"/>
            </w:pPr>
            <w:r>
              <w:rPr>
                <w:sz w:val="18"/>
              </w:rPr>
              <w:t>Nematerijalna imovina (šifre 4121 do 4126)</w:t>
            </w:r>
          </w:p>
        </w:tc>
        <w:tc>
          <w:tcPr>
            <w:tcW w:w="700" w:type="dxa"/>
            <w:tcMar>
              <w:top w:w="0" w:type="dxa"/>
              <w:bottom w:w="0" w:type="dxa"/>
            </w:tcMar>
            <w:vAlign w:val="center"/>
          </w:tcPr>
          <w:p w:rsidR="007C37F0" w:rsidRDefault="00BF0EB0">
            <w:pPr>
              <w:keepNext/>
              <w:keepLines/>
              <w:spacing w:after="0" w:line="240" w:lineRule="auto"/>
            </w:pPr>
            <w:r>
              <w:rPr>
                <w:sz w:val="18"/>
              </w:rPr>
              <w:t>412</w:t>
            </w:r>
          </w:p>
        </w:tc>
        <w:tc>
          <w:tcPr>
            <w:tcW w:w="1860" w:type="dxa"/>
            <w:tcMar>
              <w:top w:w="0" w:type="dxa"/>
              <w:bottom w:w="0" w:type="dxa"/>
            </w:tcMar>
            <w:vAlign w:val="center"/>
          </w:tcPr>
          <w:p w:rsidR="007C37F0" w:rsidRDefault="00BF0EB0">
            <w:pPr>
              <w:keepNext/>
              <w:keepLines/>
              <w:spacing w:after="0" w:line="240" w:lineRule="auto"/>
              <w:jc w:val="right"/>
            </w:pPr>
            <w:r>
              <w:rPr>
                <w:sz w:val="18"/>
              </w:rPr>
              <w:t>15.325,15</w:t>
            </w:r>
          </w:p>
        </w:tc>
        <w:tc>
          <w:tcPr>
            <w:tcW w:w="1860" w:type="dxa"/>
            <w:tcMar>
              <w:top w:w="0" w:type="dxa"/>
              <w:bottom w:w="0" w:type="dxa"/>
            </w:tcMar>
            <w:vAlign w:val="center"/>
          </w:tcPr>
          <w:p w:rsidR="007C37F0" w:rsidRDefault="00BF0EB0">
            <w:pPr>
              <w:keepNext/>
              <w:keepLines/>
              <w:spacing w:after="0" w:line="240" w:lineRule="auto"/>
              <w:jc w:val="right"/>
            </w:pPr>
            <w:r>
              <w:rPr>
                <w:sz w:val="18"/>
              </w:rPr>
              <w:t>22.119,58</w:t>
            </w:r>
          </w:p>
        </w:tc>
        <w:tc>
          <w:tcPr>
            <w:tcW w:w="700" w:type="dxa"/>
            <w:tcMar>
              <w:top w:w="0" w:type="dxa"/>
              <w:bottom w:w="0" w:type="dxa"/>
            </w:tcMar>
            <w:vAlign w:val="center"/>
          </w:tcPr>
          <w:p w:rsidR="007C37F0" w:rsidRDefault="00BF0EB0">
            <w:pPr>
              <w:keepNext/>
              <w:keepLines/>
              <w:spacing w:after="0" w:line="240" w:lineRule="auto"/>
              <w:jc w:val="right"/>
            </w:pPr>
            <w:r>
              <w:rPr>
                <w:sz w:val="18"/>
              </w:rPr>
              <w:t>144,3</w:t>
            </w:r>
          </w:p>
        </w:tc>
      </w:tr>
    </w:tbl>
    <w:p w:rsidR="007C37F0" w:rsidRDefault="007C37F0">
      <w:pPr>
        <w:spacing w:after="0"/>
      </w:pPr>
    </w:p>
    <w:p w:rsidR="007C37F0" w:rsidRDefault="00BF0EB0" w:rsidP="00FD1901">
      <w:pPr>
        <w:jc w:val="both"/>
      </w:pPr>
      <w:r>
        <w:t>Bilježe povećanje za 44,30% ili za 6.794,43 eura. Obnovljen pristup bazi medicinske dokumentacije u elektronskom obliku '</w:t>
      </w:r>
      <w:proofErr w:type="spellStart"/>
      <w:r>
        <w:t>UpToDate</w:t>
      </w:r>
      <w:proofErr w:type="spellEnd"/>
      <w:r>
        <w:t xml:space="preserve"> </w:t>
      </w:r>
      <w:proofErr w:type="spellStart"/>
      <w:r>
        <w:t>Anywhere</w:t>
      </w:r>
      <w:proofErr w:type="spellEnd"/>
      <w:r>
        <w:t xml:space="preserve">", te za održavanje postojećih licenci kao i prethodne godine. Povećanje se očituje u novim licencama za softver za backup i oporavak podataka u skladu s NIS2 direktivom, licence za </w:t>
      </w:r>
      <w:proofErr w:type="spellStart"/>
      <w:r>
        <w:t>firewall</w:t>
      </w:r>
      <w:proofErr w:type="spellEnd"/>
      <w:r>
        <w:t xml:space="preserve"> uređaj radi slojevite obnove mreže u stvarnom vremenu, kao i licence potrebne za rad robotskog uređaja za jedinično izdavanje terapije (lijekova).</w:t>
      </w:r>
    </w:p>
    <w:p w:rsidR="007C37F0" w:rsidRDefault="007C37F0"/>
    <w:p w:rsidR="007C37F0" w:rsidRDefault="00BF0EB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422</w:t>
            </w:r>
          </w:p>
        </w:tc>
        <w:tc>
          <w:tcPr>
            <w:tcW w:w="3180" w:type="dxa"/>
            <w:tcMar>
              <w:top w:w="0" w:type="dxa"/>
              <w:bottom w:w="0" w:type="dxa"/>
            </w:tcMar>
            <w:vAlign w:val="center"/>
          </w:tcPr>
          <w:p w:rsidR="007C37F0" w:rsidRDefault="00BF0EB0">
            <w:pPr>
              <w:keepNext/>
              <w:keepLines/>
              <w:spacing w:after="0" w:line="240" w:lineRule="auto"/>
            </w:pPr>
            <w:r>
              <w:rPr>
                <w:sz w:val="18"/>
              </w:rPr>
              <w:t>Postrojenja i oprema (šifre 4221 do 4228)</w:t>
            </w:r>
          </w:p>
        </w:tc>
        <w:tc>
          <w:tcPr>
            <w:tcW w:w="700" w:type="dxa"/>
            <w:tcMar>
              <w:top w:w="0" w:type="dxa"/>
              <w:bottom w:w="0" w:type="dxa"/>
            </w:tcMar>
            <w:vAlign w:val="center"/>
          </w:tcPr>
          <w:p w:rsidR="007C37F0" w:rsidRDefault="00BF0EB0">
            <w:pPr>
              <w:keepNext/>
              <w:keepLines/>
              <w:spacing w:after="0" w:line="240" w:lineRule="auto"/>
            </w:pPr>
            <w:r>
              <w:rPr>
                <w:sz w:val="18"/>
              </w:rPr>
              <w:t>422</w:t>
            </w:r>
          </w:p>
        </w:tc>
        <w:tc>
          <w:tcPr>
            <w:tcW w:w="1860" w:type="dxa"/>
            <w:tcMar>
              <w:top w:w="0" w:type="dxa"/>
              <w:bottom w:w="0" w:type="dxa"/>
            </w:tcMar>
            <w:vAlign w:val="center"/>
          </w:tcPr>
          <w:p w:rsidR="007C37F0" w:rsidRDefault="00BF0EB0">
            <w:pPr>
              <w:keepNext/>
              <w:keepLines/>
              <w:spacing w:after="0" w:line="240" w:lineRule="auto"/>
              <w:jc w:val="right"/>
            </w:pPr>
            <w:r>
              <w:rPr>
                <w:sz w:val="18"/>
              </w:rPr>
              <w:t>1.111.014,30</w:t>
            </w:r>
          </w:p>
        </w:tc>
        <w:tc>
          <w:tcPr>
            <w:tcW w:w="1860" w:type="dxa"/>
            <w:tcMar>
              <w:top w:w="0" w:type="dxa"/>
              <w:bottom w:w="0" w:type="dxa"/>
            </w:tcMar>
            <w:vAlign w:val="center"/>
          </w:tcPr>
          <w:p w:rsidR="007C37F0" w:rsidRDefault="00BF0EB0">
            <w:pPr>
              <w:keepNext/>
              <w:keepLines/>
              <w:spacing w:after="0" w:line="240" w:lineRule="auto"/>
              <w:jc w:val="right"/>
            </w:pPr>
            <w:r>
              <w:rPr>
                <w:sz w:val="18"/>
              </w:rPr>
              <w:t>306.141,16</w:t>
            </w:r>
          </w:p>
        </w:tc>
        <w:tc>
          <w:tcPr>
            <w:tcW w:w="700" w:type="dxa"/>
            <w:tcMar>
              <w:top w:w="0" w:type="dxa"/>
              <w:bottom w:w="0" w:type="dxa"/>
            </w:tcMar>
            <w:vAlign w:val="center"/>
          </w:tcPr>
          <w:p w:rsidR="007C37F0" w:rsidRDefault="00BF0EB0">
            <w:pPr>
              <w:keepNext/>
              <w:keepLines/>
              <w:spacing w:after="0" w:line="240" w:lineRule="auto"/>
              <w:jc w:val="right"/>
            </w:pPr>
            <w:r>
              <w:rPr>
                <w:sz w:val="18"/>
              </w:rPr>
              <w:t>27,6</w:t>
            </w:r>
          </w:p>
        </w:tc>
      </w:tr>
    </w:tbl>
    <w:p w:rsidR="007C37F0" w:rsidRDefault="007C37F0">
      <w:pPr>
        <w:spacing w:after="0"/>
      </w:pPr>
    </w:p>
    <w:p w:rsidR="007C37F0" w:rsidRDefault="00BF0EB0" w:rsidP="00FD1901">
      <w:pPr>
        <w:jc w:val="both"/>
      </w:pPr>
      <w:r>
        <w:t>U odnosu na prethodnu, 2024. godinu, evidentirano je smanjenje od 72,40 %, odnosno 804.873,14 eura. Ovo smanjenje rezultat je nabave samo nužne i neophodne opreme u sklopu racionalizacije troškova.</w:t>
      </w:r>
    </w:p>
    <w:p w:rsidR="007C37F0" w:rsidRDefault="00BF0EB0" w:rsidP="00FD1901">
      <w:pPr>
        <w:jc w:val="both"/>
      </w:pPr>
      <w:r>
        <w:t>Prethodne godine nabavljeno više skuplje medicinske opreme koja se je refundirala iz decentraliziranih sredstava i Županijskih sredstava.</w:t>
      </w:r>
    </w:p>
    <w:p w:rsidR="007C37F0" w:rsidRDefault="007C37F0"/>
    <w:p w:rsidR="007C37F0" w:rsidRDefault="00BF0EB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423</w:t>
            </w:r>
          </w:p>
        </w:tc>
        <w:tc>
          <w:tcPr>
            <w:tcW w:w="3180" w:type="dxa"/>
            <w:tcMar>
              <w:top w:w="0" w:type="dxa"/>
              <w:bottom w:w="0" w:type="dxa"/>
            </w:tcMar>
            <w:vAlign w:val="center"/>
          </w:tcPr>
          <w:p w:rsidR="007C37F0" w:rsidRDefault="00BF0EB0">
            <w:pPr>
              <w:keepNext/>
              <w:keepLines/>
              <w:spacing w:after="0" w:line="240" w:lineRule="auto"/>
            </w:pPr>
            <w:r>
              <w:rPr>
                <w:sz w:val="18"/>
              </w:rPr>
              <w:t>Prijevozna sredstva (šifre 4231 do 4234)</w:t>
            </w:r>
          </w:p>
        </w:tc>
        <w:tc>
          <w:tcPr>
            <w:tcW w:w="700" w:type="dxa"/>
            <w:tcMar>
              <w:top w:w="0" w:type="dxa"/>
              <w:bottom w:w="0" w:type="dxa"/>
            </w:tcMar>
            <w:vAlign w:val="center"/>
          </w:tcPr>
          <w:p w:rsidR="007C37F0" w:rsidRDefault="00BF0EB0">
            <w:pPr>
              <w:keepNext/>
              <w:keepLines/>
              <w:spacing w:after="0" w:line="240" w:lineRule="auto"/>
            </w:pPr>
            <w:r>
              <w:rPr>
                <w:sz w:val="18"/>
              </w:rPr>
              <w:t>423</w:t>
            </w:r>
          </w:p>
        </w:tc>
        <w:tc>
          <w:tcPr>
            <w:tcW w:w="1860" w:type="dxa"/>
            <w:tcMar>
              <w:top w:w="0" w:type="dxa"/>
              <w:bottom w:w="0" w:type="dxa"/>
            </w:tcMar>
            <w:vAlign w:val="center"/>
          </w:tcPr>
          <w:p w:rsidR="007C37F0" w:rsidRDefault="00BF0EB0">
            <w:pPr>
              <w:keepNext/>
              <w:keepLines/>
              <w:spacing w:after="0" w:line="240" w:lineRule="auto"/>
              <w:jc w:val="right"/>
            </w:pPr>
            <w:r>
              <w:rPr>
                <w:sz w:val="18"/>
              </w:rPr>
              <w:t>33.707,19</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700" w:type="dxa"/>
            <w:tcMar>
              <w:top w:w="0" w:type="dxa"/>
              <w:bottom w:w="0" w:type="dxa"/>
            </w:tcMar>
            <w:vAlign w:val="center"/>
          </w:tcPr>
          <w:p w:rsidR="007C37F0" w:rsidRDefault="00BF0EB0">
            <w:pPr>
              <w:keepNext/>
              <w:keepLines/>
              <w:spacing w:after="0" w:line="240" w:lineRule="auto"/>
              <w:jc w:val="right"/>
            </w:pPr>
            <w:r>
              <w:rPr>
                <w:sz w:val="18"/>
              </w:rPr>
              <w:t>0</w:t>
            </w:r>
          </w:p>
        </w:tc>
      </w:tr>
    </w:tbl>
    <w:p w:rsidR="007C37F0" w:rsidRDefault="007C37F0" w:rsidP="00FD1901">
      <w:pPr>
        <w:spacing w:after="0"/>
        <w:jc w:val="both"/>
      </w:pPr>
    </w:p>
    <w:p w:rsidR="007C37F0" w:rsidRDefault="00BF0EB0" w:rsidP="00FD1901">
      <w:pPr>
        <w:jc w:val="both"/>
      </w:pPr>
      <w:r>
        <w:t>Prethodne godine nabavljeno je novo službeno vozilo budući da raspoloživa vozila nisu zadovoljavala potrebe svih zaposlenika bolnice zbog odlazaka na edukacije, seminare i druge službene obveze u iznosu 33.707,19 eura. Poslovne godine zbog racionalizacije poslovanja nisu nabavljana nova prijevozna sredstva.</w:t>
      </w:r>
    </w:p>
    <w:p w:rsidR="007C37F0" w:rsidRDefault="007C37F0"/>
    <w:p w:rsidR="007C37F0" w:rsidRDefault="00BF0EB0">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426</w:t>
            </w:r>
          </w:p>
        </w:tc>
        <w:tc>
          <w:tcPr>
            <w:tcW w:w="3180" w:type="dxa"/>
            <w:tcMar>
              <w:top w:w="0" w:type="dxa"/>
              <w:bottom w:w="0" w:type="dxa"/>
            </w:tcMar>
            <w:vAlign w:val="center"/>
          </w:tcPr>
          <w:p w:rsidR="007C37F0" w:rsidRDefault="00BF0EB0">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7C37F0" w:rsidRDefault="00BF0EB0">
            <w:pPr>
              <w:keepNext/>
              <w:keepLines/>
              <w:spacing w:after="0" w:line="240" w:lineRule="auto"/>
            </w:pPr>
            <w:r>
              <w:rPr>
                <w:sz w:val="18"/>
              </w:rPr>
              <w:t>426</w:t>
            </w:r>
          </w:p>
        </w:tc>
        <w:tc>
          <w:tcPr>
            <w:tcW w:w="1860" w:type="dxa"/>
            <w:tcMar>
              <w:top w:w="0" w:type="dxa"/>
              <w:bottom w:w="0" w:type="dxa"/>
            </w:tcMar>
            <w:vAlign w:val="center"/>
          </w:tcPr>
          <w:p w:rsidR="007C37F0" w:rsidRDefault="00BF0EB0">
            <w:pPr>
              <w:keepNext/>
              <w:keepLines/>
              <w:spacing w:after="0" w:line="240" w:lineRule="auto"/>
              <w:jc w:val="right"/>
            </w:pPr>
            <w:r>
              <w:rPr>
                <w:sz w:val="18"/>
              </w:rPr>
              <w:t>12.784,38</w:t>
            </w:r>
          </w:p>
        </w:tc>
        <w:tc>
          <w:tcPr>
            <w:tcW w:w="1860" w:type="dxa"/>
            <w:tcMar>
              <w:top w:w="0" w:type="dxa"/>
              <w:bottom w:w="0" w:type="dxa"/>
            </w:tcMar>
            <w:vAlign w:val="center"/>
          </w:tcPr>
          <w:p w:rsidR="007C37F0" w:rsidRDefault="00BF0EB0">
            <w:pPr>
              <w:keepNext/>
              <w:keepLines/>
              <w:spacing w:after="0" w:line="240" w:lineRule="auto"/>
              <w:jc w:val="right"/>
            </w:pPr>
            <w:r>
              <w:rPr>
                <w:sz w:val="18"/>
              </w:rPr>
              <w:t>1.434,25</w:t>
            </w:r>
          </w:p>
        </w:tc>
        <w:tc>
          <w:tcPr>
            <w:tcW w:w="700" w:type="dxa"/>
            <w:tcMar>
              <w:top w:w="0" w:type="dxa"/>
              <w:bottom w:w="0" w:type="dxa"/>
            </w:tcMar>
            <w:vAlign w:val="center"/>
          </w:tcPr>
          <w:p w:rsidR="007C37F0" w:rsidRDefault="00BF0EB0">
            <w:pPr>
              <w:keepNext/>
              <w:keepLines/>
              <w:spacing w:after="0" w:line="240" w:lineRule="auto"/>
              <w:jc w:val="right"/>
            </w:pPr>
            <w:r>
              <w:rPr>
                <w:sz w:val="18"/>
              </w:rPr>
              <w:t>11,2</w:t>
            </w:r>
          </w:p>
        </w:tc>
      </w:tr>
    </w:tbl>
    <w:p w:rsidR="007C37F0" w:rsidRDefault="007C37F0">
      <w:pPr>
        <w:spacing w:after="0"/>
      </w:pPr>
    </w:p>
    <w:p w:rsidR="007C37F0" w:rsidRDefault="00BF0EB0" w:rsidP="00FD1901">
      <w:pPr>
        <w:jc w:val="both"/>
      </w:pPr>
      <w:r>
        <w:t xml:space="preserve">U odnosu na poslovnu 2024. godinu bilježi se smanjenje za 88,80% ili za 11.350,13 eura. U poslovnoj 2024. godini završena je implementacije ljekarničkog programa sa odjelnim skladištima (za praćenje lijekova i potrošnog medicinskog materijala), dok je u poslovnoj 2025. godini evidentirana nabava Bio </w:t>
      </w:r>
      <w:proofErr w:type="spellStart"/>
      <w:r>
        <w:t>net</w:t>
      </w:r>
      <w:proofErr w:type="spellEnd"/>
      <w:r>
        <w:t xml:space="preserve"> radnog mjesta za laboratorijski sustav te implementacija </w:t>
      </w:r>
      <w:proofErr w:type="spellStart"/>
      <w:r>
        <w:t>Pharmalogger</w:t>
      </w:r>
      <w:proofErr w:type="spellEnd"/>
      <w:r>
        <w:t xml:space="preserve"> sustava za nadzor temperature.</w:t>
      </w:r>
    </w:p>
    <w:p w:rsidR="007C37F0" w:rsidRDefault="007C37F0"/>
    <w:p w:rsidR="007C37F0" w:rsidRDefault="00BF0EB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451</w:t>
            </w:r>
          </w:p>
        </w:tc>
        <w:tc>
          <w:tcPr>
            <w:tcW w:w="3180" w:type="dxa"/>
            <w:tcMar>
              <w:top w:w="0" w:type="dxa"/>
              <w:bottom w:w="0" w:type="dxa"/>
            </w:tcMar>
            <w:vAlign w:val="center"/>
          </w:tcPr>
          <w:p w:rsidR="007C37F0" w:rsidRDefault="00BF0EB0">
            <w:pPr>
              <w:keepNext/>
              <w:keepLines/>
              <w:spacing w:after="0" w:line="240" w:lineRule="auto"/>
            </w:pPr>
            <w:r>
              <w:rPr>
                <w:sz w:val="18"/>
              </w:rPr>
              <w:t>Dodatna ulaganja na građevinskim objektima</w:t>
            </w:r>
          </w:p>
        </w:tc>
        <w:tc>
          <w:tcPr>
            <w:tcW w:w="700" w:type="dxa"/>
            <w:tcMar>
              <w:top w:w="0" w:type="dxa"/>
              <w:bottom w:w="0" w:type="dxa"/>
            </w:tcMar>
            <w:vAlign w:val="center"/>
          </w:tcPr>
          <w:p w:rsidR="007C37F0" w:rsidRDefault="00BF0EB0">
            <w:pPr>
              <w:keepNext/>
              <w:keepLines/>
              <w:spacing w:after="0" w:line="240" w:lineRule="auto"/>
            </w:pPr>
            <w:r>
              <w:rPr>
                <w:sz w:val="18"/>
              </w:rPr>
              <w:t>451</w:t>
            </w:r>
          </w:p>
        </w:tc>
        <w:tc>
          <w:tcPr>
            <w:tcW w:w="1860" w:type="dxa"/>
            <w:tcMar>
              <w:top w:w="0" w:type="dxa"/>
              <w:bottom w:w="0" w:type="dxa"/>
            </w:tcMar>
            <w:vAlign w:val="center"/>
          </w:tcPr>
          <w:p w:rsidR="007C37F0" w:rsidRDefault="00BF0EB0">
            <w:pPr>
              <w:keepNext/>
              <w:keepLines/>
              <w:spacing w:after="0" w:line="240" w:lineRule="auto"/>
              <w:jc w:val="right"/>
            </w:pPr>
            <w:r>
              <w:rPr>
                <w:sz w:val="18"/>
              </w:rPr>
              <w:t>572.510,66</w:t>
            </w:r>
          </w:p>
        </w:tc>
        <w:tc>
          <w:tcPr>
            <w:tcW w:w="1860" w:type="dxa"/>
            <w:tcMar>
              <w:top w:w="0" w:type="dxa"/>
              <w:bottom w:w="0" w:type="dxa"/>
            </w:tcMar>
            <w:vAlign w:val="center"/>
          </w:tcPr>
          <w:p w:rsidR="007C37F0" w:rsidRDefault="00BF0EB0">
            <w:pPr>
              <w:keepNext/>
              <w:keepLines/>
              <w:spacing w:after="0" w:line="240" w:lineRule="auto"/>
              <w:jc w:val="right"/>
            </w:pPr>
            <w:r>
              <w:rPr>
                <w:sz w:val="18"/>
              </w:rPr>
              <w:t>13.002.101,95</w:t>
            </w:r>
          </w:p>
        </w:tc>
        <w:tc>
          <w:tcPr>
            <w:tcW w:w="700" w:type="dxa"/>
            <w:tcMar>
              <w:top w:w="0" w:type="dxa"/>
              <w:bottom w:w="0" w:type="dxa"/>
            </w:tcMar>
            <w:vAlign w:val="center"/>
          </w:tcPr>
          <w:p w:rsidR="007C37F0" w:rsidRDefault="00BF0EB0">
            <w:pPr>
              <w:keepNext/>
              <w:keepLines/>
              <w:spacing w:after="0" w:line="240" w:lineRule="auto"/>
              <w:jc w:val="right"/>
            </w:pPr>
            <w:r>
              <w:rPr>
                <w:sz w:val="18"/>
              </w:rPr>
              <w:t>2271,1</w:t>
            </w:r>
          </w:p>
        </w:tc>
      </w:tr>
    </w:tbl>
    <w:p w:rsidR="007C37F0" w:rsidRDefault="007C37F0">
      <w:pPr>
        <w:spacing w:after="0"/>
      </w:pPr>
    </w:p>
    <w:p w:rsidR="007C37F0" w:rsidRDefault="00BF0EB0" w:rsidP="00FD1901">
      <w:pPr>
        <w:jc w:val="both"/>
      </w:pPr>
      <w:r>
        <w:t xml:space="preserve">Evidentirani troškovi u poslovnoj godini iznose 13.002.101,95 eura, što predstavlja povećanje od 1.171,10% u odnosu na poslovnu 2024. godinu. Povećanje je rezultat troškova povezanih s provedbom projekta „Unapređenje kvalitete smještaja i sadržaja hotela Minerva“ te izradom projektne dokumentacije za izgradnju terase </w:t>
      </w:r>
      <w:proofErr w:type="spellStart"/>
      <w:r>
        <w:t>Caffe</w:t>
      </w:r>
      <w:proofErr w:type="spellEnd"/>
      <w:r>
        <w:t xml:space="preserve"> bara Terme.</w:t>
      </w:r>
    </w:p>
    <w:p w:rsidR="007C37F0" w:rsidRDefault="00BF0EB0" w:rsidP="00FD1901">
      <w:pPr>
        <w:jc w:val="both"/>
      </w:pPr>
      <w:r>
        <w:t>U poslovnoj 2024. godini izvršena je adaptacija sanitarnih prostora objekta Konstantinov dom, rekonstrukcija krovišta i unutrašnjosti bazena IV objekta Konstantinova kupelj, te usluga izrade studije izvedivosti u sklopu poziva „Regionalna diversifikacija i specijalizacija hrvatskog turizma kroz ulaganja u razvoj turističkih proizvoda visoke dodane vrijednosti“ (referentna oznaka NPOO.C1.6.R1-I1.01), u okviru Nacionalnog plana oporavka i otpornosti (NPOO).</w:t>
      </w:r>
    </w:p>
    <w:p w:rsidR="007C37F0" w:rsidRDefault="007C37F0"/>
    <w:p w:rsidR="007C37F0" w:rsidRDefault="00BF0EB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MANJAK PRIHODA OD NEFINANCIJSKE IMOVINE (šifre 4-7)</w:t>
            </w:r>
          </w:p>
        </w:tc>
        <w:tc>
          <w:tcPr>
            <w:tcW w:w="700" w:type="dxa"/>
            <w:tcMar>
              <w:top w:w="0" w:type="dxa"/>
              <w:bottom w:w="0" w:type="dxa"/>
            </w:tcMar>
            <w:vAlign w:val="center"/>
          </w:tcPr>
          <w:p w:rsidR="007C37F0" w:rsidRDefault="00BF0EB0">
            <w:pPr>
              <w:keepNext/>
              <w:keepLines/>
              <w:spacing w:after="0" w:line="240" w:lineRule="auto"/>
            </w:pPr>
            <w:r>
              <w:rPr>
                <w:sz w:val="18"/>
              </w:rPr>
              <w:t>Y002</w:t>
            </w:r>
          </w:p>
        </w:tc>
        <w:tc>
          <w:tcPr>
            <w:tcW w:w="1860" w:type="dxa"/>
            <w:tcMar>
              <w:top w:w="0" w:type="dxa"/>
              <w:bottom w:w="0" w:type="dxa"/>
            </w:tcMar>
            <w:vAlign w:val="center"/>
          </w:tcPr>
          <w:p w:rsidR="007C37F0" w:rsidRDefault="00BF0EB0">
            <w:pPr>
              <w:keepNext/>
              <w:keepLines/>
              <w:spacing w:after="0" w:line="240" w:lineRule="auto"/>
              <w:jc w:val="right"/>
            </w:pPr>
            <w:r>
              <w:rPr>
                <w:sz w:val="18"/>
              </w:rPr>
              <w:t>1.745.245,60</w:t>
            </w:r>
          </w:p>
        </w:tc>
        <w:tc>
          <w:tcPr>
            <w:tcW w:w="1860" w:type="dxa"/>
            <w:tcMar>
              <w:top w:w="0" w:type="dxa"/>
              <w:bottom w:w="0" w:type="dxa"/>
            </w:tcMar>
            <w:vAlign w:val="center"/>
          </w:tcPr>
          <w:p w:rsidR="007C37F0" w:rsidRDefault="00BF0EB0">
            <w:pPr>
              <w:keepNext/>
              <w:keepLines/>
              <w:spacing w:after="0" w:line="240" w:lineRule="auto"/>
              <w:jc w:val="right"/>
            </w:pPr>
            <w:r>
              <w:rPr>
                <w:sz w:val="18"/>
              </w:rPr>
              <w:t>13.331.796,94</w:t>
            </w:r>
          </w:p>
        </w:tc>
        <w:tc>
          <w:tcPr>
            <w:tcW w:w="700" w:type="dxa"/>
            <w:tcMar>
              <w:top w:w="0" w:type="dxa"/>
              <w:bottom w:w="0" w:type="dxa"/>
            </w:tcMar>
            <w:vAlign w:val="center"/>
          </w:tcPr>
          <w:p w:rsidR="007C37F0" w:rsidRDefault="00BF0EB0">
            <w:pPr>
              <w:keepNext/>
              <w:keepLines/>
              <w:spacing w:after="0" w:line="240" w:lineRule="auto"/>
              <w:jc w:val="right"/>
            </w:pPr>
            <w:r>
              <w:rPr>
                <w:sz w:val="18"/>
              </w:rPr>
              <w:t>763,9</w:t>
            </w:r>
          </w:p>
        </w:tc>
      </w:tr>
    </w:tbl>
    <w:p w:rsidR="007C37F0" w:rsidRDefault="007C37F0">
      <w:pPr>
        <w:spacing w:after="0"/>
      </w:pPr>
    </w:p>
    <w:p w:rsidR="007C37F0" w:rsidRDefault="00BF0EB0" w:rsidP="00FD1901">
      <w:pPr>
        <w:jc w:val="both"/>
      </w:pPr>
      <w:r>
        <w:t xml:space="preserve">Manjak prihoda od nefinancijske imovine tekuće godine iznosi 13.331.796,94 eura.  Iz viška prihoda poslovanja </w:t>
      </w:r>
      <w:proofErr w:type="spellStart"/>
      <w:r>
        <w:t>izršeni</w:t>
      </w:r>
      <w:proofErr w:type="spellEnd"/>
      <w:r>
        <w:t xml:space="preserve"> su kapitalni prijenosi za nefinancijsku imovinu u iznosu 9.038.452,42 eura čime se u konačnici smanjuje manjak od nefinancijske imovine i isti iznosi 4.293.344,52 eura.  </w:t>
      </w:r>
    </w:p>
    <w:p w:rsidR="007C37F0" w:rsidRDefault="007C37F0" w:rsidP="00FD1901">
      <w:pPr>
        <w:jc w:val="both"/>
      </w:pPr>
    </w:p>
    <w:p w:rsidR="007C37F0" w:rsidRDefault="00BF0EB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92222</w:t>
            </w:r>
          </w:p>
        </w:tc>
        <w:tc>
          <w:tcPr>
            <w:tcW w:w="3180" w:type="dxa"/>
            <w:tcMar>
              <w:top w:w="0" w:type="dxa"/>
              <w:bottom w:w="0" w:type="dxa"/>
            </w:tcMar>
            <w:vAlign w:val="center"/>
          </w:tcPr>
          <w:p w:rsidR="007C37F0" w:rsidRDefault="00BF0EB0">
            <w:pPr>
              <w:keepNext/>
              <w:keepLines/>
              <w:spacing w:after="0" w:line="240" w:lineRule="auto"/>
            </w:pPr>
            <w:r>
              <w:rPr>
                <w:sz w:val="18"/>
              </w:rPr>
              <w:t>Manjak prihoda od nefinancijske imovine - preneseni</w:t>
            </w:r>
          </w:p>
        </w:tc>
        <w:tc>
          <w:tcPr>
            <w:tcW w:w="700" w:type="dxa"/>
            <w:tcMar>
              <w:top w:w="0" w:type="dxa"/>
              <w:bottom w:w="0" w:type="dxa"/>
            </w:tcMar>
            <w:vAlign w:val="center"/>
          </w:tcPr>
          <w:p w:rsidR="007C37F0" w:rsidRDefault="00BF0EB0">
            <w:pPr>
              <w:keepNext/>
              <w:keepLines/>
              <w:spacing w:after="0" w:line="240" w:lineRule="auto"/>
            </w:pPr>
            <w:r>
              <w:rPr>
                <w:sz w:val="18"/>
              </w:rPr>
              <w:t>92222</w:t>
            </w:r>
          </w:p>
        </w:tc>
        <w:tc>
          <w:tcPr>
            <w:tcW w:w="1860" w:type="dxa"/>
            <w:tcMar>
              <w:top w:w="0" w:type="dxa"/>
              <w:bottom w:w="0" w:type="dxa"/>
            </w:tcMar>
            <w:vAlign w:val="center"/>
          </w:tcPr>
          <w:p w:rsidR="007C37F0" w:rsidRDefault="00BF0EB0">
            <w:pPr>
              <w:keepNext/>
              <w:keepLines/>
              <w:spacing w:after="0" w:line="240" w:lineRule="auto"/>
              <w:jc w:val="right"/>
            </w:pPr>
            <w:r>
              <w:rPr>
                <w:sz w:val="18"/>
              </w:rPr>
              <w:t>10.852.124,43</w:t>
            </w:r>
          </w:p>
        </w:tc>
        <w:tc>
          <w:tcPr>
            <w:tcW w:w="1860" w:type="dxa"/>
            <w:tcMar>
              <w:top w:w="0" w:type="dxa"/>
              <w:bottom w:w="0" w:type="dxa"/>
            </w:tcMar>
            <w:vAlign w:val="center"/>
          </w:tcPr>
          <w:p w:rsidR="007C37F0" w:rsidRDefault="00BF0EB0">
            <w:pPr>
              <w:keepNext/>
              <w:keepLines/>
              <w:spacing w:after="0" w:line="240" w:lineRule="auto"/>
              <w:jc w:val="right"/>
            </w:pPr>
            <w:r>
              <w:rPr>
                <w:sz w:val="18"/>
              </w:rPr>
              <w:t>11.062.656,41</w:t>
            </w:r>
          </w:p>
        </w:tc>
        <w:tc>
          <w:tcPr>
            <w:tcW w:w="700" w:type="dxa"/>
            <w:tcMar>
              <w:top w:w="0" w:type="dxa"/>
              <w:bottom w:w="0" w:type="dxa"/>
            </w:tcMar>
            <w:vAlign w:val="center"/>
          </w:tcPr>
          <w:p w:rsidR="007C37F0" w:rsidRDefault="00BF0EB0">
            <w:pPr>
              <w:keepNext/>
              <w:keepLines/>
              <w:spacing w:after="0" w:line="240" w:lineRule="auto"/>
              <w:jc w:val="right"/>
            </w:pPr>
            <w:r>
              <w:rPr>
                <w:sz w:val="18"/>
              </w:rPr>
              <w:t>101,9</w:t>
            </w:r>
          </w:p>
        </w:tc>
      </w:tr>
    </w:tbl>
    <w:p w:rsidR="007C37F0" w:rsidRDefault="007C37F0">
      <w:pPr>
        <w:spacing w:after="0"/>
      </w:pPr>
    </w:p>
    <w:p w:rsidR="007C37F0" w:rsidRDefault="00BF0EB0">
      <w:r>
        <w:t>Iznos prenesenog manjka prihoda od nefinancijske imovine iznosi 11.062.656,41 eura, a sastoji se od početnog stanja na dan 01.01.2025. godine u iznosu 11.297.980,31 eura i korekcije rezultata iz prethodnih godina u iznosu 235.323,90 eura kojim se dodatno umanjuje preneseni manjak od nefinancijske imovine za neiskazani višak prihoda u prethodnim godinama.</w:t>
      </w:r>
    </w:p>
    <w:p w:rsidR="007C37F0" w:rsidRDefault="00BF0EB0">
      <w:r>
        <w:rPr>
          <w:b/>
          <w:i/>
        </w:rPr>
        <w:t>Obrazloženje korekcije rezultata:</w:t>
      </w:r>
    </w:p>
    <w:p w:rsidR="007C37F0" w:rsidRDefault="00BF0EB0" w:rsidP="00FD1901">
      <w:pPr>
        <w:jc w:val="both"/>
      </w:pPr>
      <w:r>
        <w:t>Prilikom provođenja usklađenja bilančne ravnoteže utvrđeno je da je vrijednost nefinancijske imovine u razredu 0 manja od vrijednosti vlastitih izvora na podskupini 911 za iznos od 235.323,90 eura. U slučaju ovakve bilančne neravnoteže, kao ispravan i točan podatak uzima se stanje nefinancijske imovine u razredu 0, budući da se sukladno propisima svake godine provodi popis imovine i obveza sa stanjem na datum bilance. Utvrđena razlika između razreda 0 i razreda 9 u iznosu od 235.323,90 eura nastala je zbog činjenice da u prethodnim godinama nisu bili ispravno zatvoreni izvori na kontu 91111 – fond za potrebe stanovanja, niti su ispravno iskazani prihodi od prodaje stanova u početnim godinama otplate (1991. – 2001.). Umjesto priznavanja prihoda, u poslovnim knjigama evidentirana je blagajna i prijelazni žiroračun, što nije u skladu s računovodstvenim propisima. Naglašava se da se za navedene obročne otplate stanova redovito obračunavala i plaćala obveza u visini 65 % vrijednosti obroka Fondu za zaštitu okoliša i izgradnju stanova, što potvrđuje da je ekonomski događaj bio ostvaren, ali računovodstveno pogrešno evidentiran. Knjigovodstvenim evidentiranjem Odluke br. 01-1339/1-2025. od 23. prosinca 2025. godine o ispravku pogrešno evidentiranih računovodstvenih podataka iz prethodnih godina izvršen je ispravak na način da su zatvoreni vlastiti izvori za nefinancijsku imovinu na kontu 9111, evidentiran višak prihoda od nefinancijske imovine na kontu 92215 te umanjen manjak od nefinancijske imovine na kontu 9222.</w:t>
      </w:r>
    </w:p>
    <w:p w:rsidR="007C37F0" w:rsidRDefault="007C37F0"/>
    <w:p w:rsidR="007C37F0" w:rsidRDefault="00BF0EB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84</w:t>
            </w:r>
          </w:p>
        </w:tc>
        <w:tc>
          <w:tcPr>
            <w:tcW w:w="3180" w:type="dxa"/>
            <w:tcMar>
              <w:top w:w="0" w:type="dxa"/>
              <w:bottom w:w="0" w:type="dxa"/>
            </w:tcMar>
            <w:vAlign w:val="center"/>
          </w:tcPr>
          <w:p w:rsidR="007C37F0" w:rsidRDefault="00BF0EB0">
            <w:pPr>
              <w:keepNext/>
              <w:keepLines/>
              <w:spacing w:after="0" w:line="240" w:lineRule="auto"/>
            </w:pPr>
            <w:r>
              <w:rPr>
                <w:sz w:val="18"/>
              </w:rPr>
              <w:t>Primici od zaduživanja (šifre 841+842+843+844+845+847)</w:t>
            </w:r>
          </w:p>
        </w:tc>
        <w:tc>
          <w:tcPr>
            <w:tcW w:w="700" w:type="dxa"/>
            <w:tcMar>
              <w:top w:w="0" w:type="dxa"/>
              <w:bottom w:w="0" w:type="dxa"/>
            </w:tcMar>
            <w:vAlign w:val="center"/>
          </w:tcPr>
          <w:p w:rsidR="007C37F0" w:rsidRDefault="00BF0EB0">
            <w:pPr>
              <w:keepNext/>
              <w:keepLines/>
              <w:spacing w:after="0" w:line="240" w:lineRule="auto"/>
            </w:pPr>
            <w:r>
              <w:rPr>
                <w:sz w:val="18"/>
              </w:rPr>
              <w:t>84</w:t>
            </w:r>
          </w:p>
        </w:tc>
        <w:tc>
          <w:tcPr>
            <w:tcW w:w="1860" w:type="dxa"/>
            <w:tcMar>
              <w:top w:w="0" w:type="dxa"/>
              <w:bottom w:w="0" w:type="dxa"/>
            </w:tcMar>
            <w:vAlign w:val="center"/>
          </w:tcPr>
          <w:p w:rsidR="007C37F0" w:rsidRDefault="00BF0EB0">
            <w:pPr>
              <w:keepNext/>
              <w:keepLines/>
              <w:spacing w:after="0" w:line="240" w:lineRule="auto"/>
              <w:jc w:val="right"/>
            </w:pPr>
            <w:r>
              <w:rPr>
                <w:sz w:val="18"/>
              </w:rPr>
              <w:t>498.586,14</w:t>
            </w:r>
          </w:p>
        </w:tc>
        <w:tc>
          <w:tcPr>
            <w:tcW w:w="1860" w:type="dxa"/>
            <w:tcMar>
              <w:top w:w="0" w:type="dxa"/>
              <w:bottom w:w="0" w:type="dxa"/>
            </w:tcMar>
            <w:vAlign w:val="center"/>
          </w:tcPr>
          <w:p w:rsidR="007C37F0" w:rsidRDefault="00BF0EB0">
            <w:pPr>
              <w:keepNext/>
              <w:keepLines/>
              <w:spacing w:after="0" w:line="240" w:lineRule="auto"/>
              <w:jc w:val="right"/>
            </w:pPr>
            <w:r>
              <w:rPr>
                <w:sz w:val="18"/>
              </w:rPr>
              <w:t>1.007.289,65</w:t>
            </w:r>
          </w:p>
        </w:tc>
        <w:tc>
          <w:tcPr>
            <w:tcW w:w="700" w:type="dxa"/>
            <w:tcMar>
              <w:top w:w="0" w:type="dxa"/>
              <w:bottom w:w="0" w:type="dxa"/>
            </w:tcMar>
            <w:vAlign w:val="center"/>
          </w:tcPr>
          <w:p w:rsidR="007C37F0" w:rsidRDefault="00BF0EB0">
            <w:pPr>
              <w:keepNext/>
              <w:keepLines/>
              <w:spacing w:after="0" w:line="240" w:lineRule="auto"/>
              <w:jc w:val="right"/>
            </w:pPr>
            <w:r>
              <w:rPr>
                <w:sz w:val="18"/>
              </w:rPr>
              <w:t>202,0</w:t>
            </w:r>
          </w:p>
        </w:tc>
      </w:tr>
    </w:tbl>
    <w:p w:rsidR="007C37F0" w:rsidRDefault="007C37F0" w:rsidP="00FD1901">
      <w:pPr>
        <w:spacing w:after="0"/>
        <w:jc w:val="both"/>
      </w:pPr>
    </w:p>
    <w:p w:rsidR="007C37F0" w:rsidRDefault="00BF0EB0" w:rsidP="00FD1901">
      <w:pPr>
        <w:jc w:val="both"/>
      </w:pPr>
      <w:r>
        <w:t xml:space="preserve">Evidentirani u iznosu 1.007.289,65 eura, veći su u odnosu na isto razdoblje prethodne godine za 102,00%, a odnose se na odobreni okvirni kredit po računu Cash </w:t>
      </w:r>
      <w:proofErr w:type="spellStart"/>
      <w:r>
        <w:t>poola</w:t>
      </w:r>
      <w:proofErr w:type="spellEnd"/>
      <w:r>
        <w:t xml:space="preserve">. Maksimalno odobreni iznos Cash </w:t>
      </w:r>
      <w:proofErr w:type="spellStart"/>
      <w:r>
        <w:t>poola</w:t>
      </w:r>
      <w:proofErr w:type="spellEnd"/>
      <w:r>
        <w:t xml:space="preserve"> do 21. listopada iznosio je 1.000.000,00 eura, nakon čega je povećan na 1.400.000,00 eura.</w:t>
      </w:r>
    </w:p>
    <w:p w:rsidR="007C37F0" w:rsidRDefault="007C37F0"/>
    <w:p w:rsidR="007C37F0" w:rsidRDefault="00BF0EB0">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54</w:t>
            </w:r>
          </w:p>
        </w:tc>
        <w:tc>
          <w:tcPr>
            <w:tcW w:w="3180" w:type="dxa"/>
            <w:tcMar>
              <w:top w:w="0" w:type="dxa"/>
              <w:bottom w:w="0" w:type="dxa"/>
            </w:tcMar>
            <w:vAlign w:val="center"/>
          </w:tcPr>
          <w:p w:rsidR="007C37F0" w:rsidRDefault="00BF0EB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rsidR="007C37F0" w:rsidRDefault="00BF0EB0">
            <w:pPr>
              <w:keepNext/>
              <w:keepLines/>
              <w:spacing w:after="0" w:line="240" w:lineRule="auto"/>
            </w:pPr>
            <w:r>
              <w:rPr>
                <w:sz w:val="18"/>
              </w:rPr>
              <w:t>54</w:t>
            </w:r>
          </w:p>
        </w:tc>
        <w:tc>
          <w:tcPr>
            <w:tcW w:w="1860" w:type="dxa"/>
            <w:tcMar>
              <w:top w:w="0" w:type="dxa"/>
              <w:bottom w:w="0" w:type="dxa"/>
            </w:tcMar>
            <w:vAlign w:val="center"/>
          </w:tcPr>
          <w:p w:rsidR="007C37F0" w:rsidRDefault="00BF0EB0">
            <w:pPr>
              <w:keepNext/>
              <w:keepLines/>
              <w:spacing w:after="0" w:line="240" w:lineRule="auto"/>
              <w:jc w:val="right"/>
            </w:pPr>
            <w:r>
              <w:rPr>
                <w:sz w:val="18"/>
              </w:rPr>
              <w:t>1.831.389,46</w:t>
            </w:r>
          </w:p>
        </w:tc>
        <w:tc>
          <w:tcPr>
            <w:tcW w:w="1860" w:type="dxa"/>
            <w:tcMar>
              <w:top w:w="0" w:type="dxa"/>
              <w:bottom w:w="0" w:type="dxa"/>
            </w:tcMar>
            <w:vAlign w:val="center"/>
          </w:tcPr>
          <w:p w:rsidR="007C37F0" w:rsidRDefault="00BF0EB0">
            <w:pPr>
              <w:keepNext/>
              <w:keepLines/>
              <w:spacing w:after="0" w:line="240" w:lineRule="auto"/>
              <w:jc w:val="right"/>
            </w:pPr>
            <w:r>
              <w:rPr>
                <w:sz w:val="18"/>
              </w:rPr>
              <w:t>1.370.612,53</w:t>
            </w:r>
          </w:p>
        </w:tc>
        <w:tc>
          <w:tcPr>
            <w:tcW w:w="700" w:type="dxa"/>
            <w:tcMar>
              <w:top w:w="0" w:type="dxa"/>
              <w:bottom w:w="0" w:type="dxa"/>
            </w:tcMar>
            <w:vAlign w:val="center"/>
          </w:tcPr>
          <w:p w:rsidR="007C37F0" w:rsidRDefault="00BF0EB0">
            <w:pPr>
              <w:keepNext/>
              <w:keepLines/>
              <w:spacing w:after="0" w:line="240" w:lineRule="auto"/>
              <w:jc w:val="right"/>
            </w:pPr>
            <w:r>
              <w:rPr>
                <w:sz w:val="18"/>
              </w:rPr>
              <w:t>74,8</w:t>
            </w:r>
          </w:p>
        </w:tc>
      </w:tr>
    </w:tbl>
    <w:p w:rsidR="007C37F0" w:rsidRDefault="007C37F0">
      <w:pPr>
        <w:spacing w:after="0"/>
      </w:pPr>
    </w:p>
    <w:p w:rsidR="007C37F0" w:rsidRDefault="00BF0EB0" w:rsidP="00FD1901">
      <w:pPr>
        <w:jc w:val="both"/>
      </w:pPr>
      <w:r>
        <w:t>Ukupni evidentirani troškovi iznose 1.370.612,53 eura, što predstavlja smanjenje od 25,20%, odnosno 460.776,93 eura u odnosu na isto razdoblje prethodne godine. Na otplatu glavnice prema HBOR-u evidentiran je iznos od 475.564,48 eura, što je u skladu s prethodnom godinom, dok je na otplatu glavnice prema Zagrebačkoj banci evidentiran iznos od 306.283,40 eura (prethodne godine 331.807,02 eura). Razlika se očituje u valuti plaćanja glavnice, budući da je prethodne godine glavnica dospjela na 31.12. evidentirana i izvršena 1.1.</w:t>
      </w:r>
    </w:p>
    <w:p w:rsidR="007C37F0" w:rsidRDefault="00BF0EB0" w:rsidP="00FD1901">
      <w:pPr>
        <w:jc w:val="both"/>
      </w:pPr>
      <w:r>
        <w:t xml:space="preserve">Otplata Cash </w:t>
      </w:r>
      <w:proofErr w:type="spellStart"/>
      <w:r>
        <w:t>pool</w:t>
      </w:r>
      <w:proofErr w:type="spellEnd"/>
      <w:r>
        <w:t xml:space="preserve"> kredita iznosi 588.764,65 eura (prethodne godine 1.024.017,96 eura). Smanjenje ukupne otplate rezultat je smanjenja otplate kratkoročnog Cash </w:t>
      </w:r>
      <w:proofErr w:type="spellStart"/>
      <w:r>
        <w:t>pool</w:t>
      </w:r>
      <w:proofErr w:type="spellEnd"/>
      <w:r>
        <w:t xml:space="preserve"> kredita u 2025. godini.</w:t>
      </w:r>
    </w:p>
    <w:p w:rsidR="007C37F0" w:rsidRDefault="007C37F0"/>
    <w:p w:rsidR="007C37F0" w:rsidRDefault="00BF0EB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rsidR="007C37F0" w:rsidRDefault="00BF0EB0">
            <w:pPr>
              <w:keepNext/>
              <w:keepLines/>
              <w:spacing w:after="0" w:line="240" w:lineRule="auto"/>
            </w:pPr>
            <w:r>
              <w:rPr>
                <w:sz w:val="18"/>
              </w:rPr>
              <w:t>Y003</w:t>
            </w:r>
          </w:p>
        </w:tc>
        <w:tc>
          <w:tcPr>
            <w:tcW w:w="1860" w:type="dxa"/>
            <w:tcMar>
              <w:top w:w="0" w:type="dxa"/>
              <w:bottom w:w="0" w:type="dxa"/>
            </w:tcMar>
            <w:vAlign w:val="center"/>
          </w:tcPr>
          <w:p w:rsidR="007C37F0" w:rsidRDefault="00BF0EB0">
            <w:pPr>
              <w:keepNext/>
              <w:keepLines/>
              <w:spacing w:after="0" w:line="240" w:lineRule="auto"/>
              <w:jc w:val="right"/>
            </w:pPr>
            <w:r>
              <w:rPr>
                <w:sz w:val="18"/>
              </w:rPr>
              <w:t>1.332.803,32</w:t>
            </w:r>
          </w:p>
        </w:tc>
        <w:tc>
          <w:tcPr>
            <w:tcW w:w="1860" w:type="dxa"/>
            <w:tcMar>
              <w:top w:w="0" w:type="dxa"/>
              <w:bottom w:w="0" w:type="dxa"/>
            </w:tcMar>
            <w:vAlign w:val="center"/>
          </w:tcPr>
          <w:p w:rsidR="007C37F0" w:rsidRDefault="00BF0EB0">
            <w:pPr>
              <w:keepNext/>
              <w:keepLines/>
              <w:spacing w:after="0" w:line="240" w:lineRule="auto"/>
              <w:jc w:val="right"/>
            </w:pPr>
            <w:r>
              <w:rPr>
                <w:sz w:val="18"/>
              </w:rPr>
              <w:t>363.322,88</w:t>
            </w:r>
          </w:p>
        </w:tc>
        <w:tc>
          <w:tcPr>
            <w:tcW w:w="700" w:type="dxa"/>
            <w:tcMar>
              <w:top w:w="0" w:type="dxa"/>
              <w:bottom w:w="0" w:type="dxa"/>
            </w:tcMar>
            <w:vAlign w:val="center"/>
          </w:tcPr>
          <w:p w:rsidR="007C37F0" w:rsidRDefault="00BF0EB0">
            <w:pPr>
              <w:keepNext/>
              <w:keepLines/>
              <w:spacing w:after="0" w:line="240" w:lineRule="auto"/>
              <w:jc w:val="right"/>
            </w:pPr>
            <w:r>
              <w:rPr>
                <w:sz w:val="18"/>
              </w:rPr>
              <w:t>27,3</w:t>
            </w:r>
          </w:p>
        </w:tc>
      </w:tr>
    </w:tbl>
    <w:p w:rsidR="007C37F0" w:rsidRDefault="007C37F0">
      <w:pPr>
        <w:spacing w:after="0"/>
      </w:pPr>
    </w:p>
    <w:p w:rsidR="007C37F0" w:rsidRDefault="00BF0EB0">
      <w:r>
        <w:t xml:space="preserve">Primici od zaduživanja ostvareni su u iznosu 1.007.289,65 eura, dok su izdaci </w:t>
      </w:r>
      <w:proofErr w:type="spellStart"/>
      <w:r>
        <w:t>evidentrirani</w:t>
      </w:r>
      <w:proofErr w:type="spellEnd"/>
      <w:r>
        <w:t xml:space="preserve"> u iznosu 1.370.612,53 eura. Primici od zaduživanja odnose se na evidentirana sredstva okvirnog Cash </w:t>
      </w:r>
      <w:proofErr w:type="spellStart"/>
      <w:r>
        <w:t>pool</w:t>
      </w:r>
      <w:proofErr w:type="spellEnd"/>
      <w:r>
        <w:t xml:space="preserve">  kredita, dok se izdaci odnose na otplatu glavnice po investicijskim kreditima  za energetsku obnovu bolničkih zgrada.</w:t>
      </w:r>
    </w:p>
    <w:p w:rsidR="007C37F0" w:rsidRDefault="00BF0EB0">
      <w:r>
        <w:t> </w:t>
      </w:r>
    </w:p>
    <w:p w:rsidR="007C37F0" w:rsidRDefault="007C37F0"/>
    <w:p w:rsidR="007C37F0" w:rsidRDefault="00BF0EB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9222-9221</w:t>
            </w:r>
          </w:p>
        </w:tc>
        <w:tc>
          <w:tcPr>
            <w:tcW w:w="3180" w:type="dxa"/>
            <w:tcMar>
              <w:top w:w="0" w:type="dxa"/>
              <w:bottom w:w="0" w:type="dxa"/>
            </w:tcMar>
            <w:vAlign w:val="center"/>
          </w:tcPr>
          <w:p w:rsidR="007C37F0" w:rsidRDefault="00BF0EB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rsidR="007C37F0" w:rsidRDefault="00BF0EB0">
            <w:pPr>
              <w:keepNext/>
              <w:keepLines/>
              <w:spacing w:after="0" w:line="240" w:lineRule="auto"/>
            </w:pPr>
            <w:r>
              <w:rPr>
                <w:sz w:val="18"/>
              </w:rPr>
              <w:t>9222-9221</w:t>
            </w:r>
          </w:p>
        </w:tc>
        <w:tc>
          <w:tcPr>
            <w:tcW w:w="1860" w:type="dxa"/>
            <w:tcMar>
              <w:top w:w="0" w:type="dxa"/>
              <w:bottom w:w="0" w:type="dxa"/>
            </w:tcMar>
            <w:vAlign w:val="center"/>
          </w:tcPr>
          <w:p w:rsidR="007C37F0" w:rsidRDefault="00BF0EB0">
            <w:pPr>
              <w:keepNext/>
              <w:keepLines/>
              <w:spacing w:after="0" w:line="240" w:lineRule="auto"/>
              <w:jc w:val="right"/>
            </w:pPr>
            <w:r>
              <w:rPr>
                <w:sz w:val="18"/>
              </w:rPr>
              <w:t>12.447.601,47</w:t>
            </w:r>
          </w:p>
        </w:tc>
        <w:tc>
          <w:tcPr>
            <w:tcW w:w="1860" w:type="dxa"/>
            <w:tcMar>
              <w:top w:w="0" w:type="dxa"/>
              <w:bottom w:w="0" w:type="dxa"/>
            </w:tcMar>
            <w:vAlign w:val="center"/>
          </w:tcPr>
          <w:p w:rsidR="007C37F0" w:rsidRDefault="00BF0EB0">
            <w:pPr>
              <w:keepNext/>
              <w:keepLines/>
              <w:spacing w:after="0" w:line="240" w:lineRule="auto"/>
              <w:jc w:val="right"/>
            </w:pPr>
            <w:r>
              <w:rPr>
                <w:sz w:val="18"/>
              </w:rPr>
              <w:t>12.921.697,49</w:t>
            </w:r>
          </w:p>
        </w:tc>
        <w:tc>
          <w:tcPr>
            <w:tcW w:w="700" w:type="dxa"/>
            <w:tcMar>
              <w:top w:w="0" w:type="dxa"/>
              <w:bottom w:w="0" w:type="dxa"/>
            </w:tcMar>
            <w:vAlign w:val="center"/>
          </w:tcPr>
          <w:p w:rsidR="007C37F0" w:rsidRDefault="00BF0EB0">
            <w:pPr>
              <w:keepNext/>
              <w:keepLines/>
              <w:spacing w:after="0" w:line="240" w:lineRule="auto"/>
              <w:jc w:val="right"/>
            </w:pPr>
            <w:r>
              <w:rPr>
                <w:sz w:val="18"/>
              </w:rPr>
              <w:t>103,8</w:t>
            </w:r>
          </w:p>
        </w:tc>
      </w:tr>
    </w:tbl>
    <w:p w:rsidR="007C37F0" w:rsidRDefault="007C37F0">
      <w:pPr>
        <w:spacing w:after="0"/>
      </w:pPr>
    </w:p>
    <w:p w:rsidR="007C37F0" w:rsidRDefault="00BF0EB0">
      <w:r>
        <w:t>Manjak prihoda i primitaka preneseni sastoji se od:</w:t>
      </w:r>
    </w:p>
    <w:p w:rsidR="007C37F0" w:rsidRDefault="00BF0EB0">
      <w:pPr>
        <w:pStyle w:val="Odlomakpopisa"/>
        <w:numPr>
          <w:ilvl w:val="0"/>
          <w:numId w:val="2"/>
        </w:numPr>
      </w:pPr>
      <w:r>
        <w:t>Preneseni manjak prihoda poslovanja iz prethodne godine iznosi 151.013,93 eura koji se sastoji od početnog stanja na dan 01.01.2025. godine u iznosu 145.452,76 i korekcije rezultata poslovanja iz prethodnih godina u iznosu od 5.561,17 eura.</w:t>
      </w:r>
    </w:p>
    <w:p w:rsidR="007C37F0" w:rsidRDefault="00BF0EB0">
      <w:pPr>
        <w:pStyle w:val="Odlomakpopisa"/>
        <w:numPr>
          <w:ilvl w:val="0"/>
          <w:numId w:val="2"/>
        </w:numPr>
      </w:pPr>
      <w:r>
        <w:t xml:space="preserve">Iznos prenesenog manjka prihoda od nefinancijske imovine iznosi 11.062.656,41 eura, a sastoji se od početnog stanja na dan 01.01.2025. godine u iznosu 11.297.980,31 eura </w:t>
      </w:r>
      <w:r>
        <w:lastRenderedPageBreak/>
        <w:t>i korekcije rezultata iz prethodnih godina u iznosu 235.323,90 eura kojim se dodatno umanjuje preneseni manjak od nefinancijske imovine za neiskazani višak prihoda u prethodnim godinama.</w:t>
      </w:r>
    </w:p>
    <w:p w:rsidR="007C37F0" w:rsidRDefault="00BF0EB0">
      <w:pPr>
        <w:pStyle w:val="Odlomakpopisa"/>
        <w:numPr>
          <w:ilvl w:val="0"/>
          <w:numId w:val="2"/>
        </w:numPr>
      </w:pPr>
      <w:r>
        <w:t>manjka prihoda od financijske imovine u iznosu 1.708.027,15 eura.</w:t>
      </w:r>
    </w:p>
    <w:p w:rsidR="007C37F0" w:rsidRDefault="007C37F0"/>
    <w:p w:rsidR="007C37F0" w:rsidRDefault="00BF0EB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7C37F0" w:rsidRDefault="00BF0EB0">
            <w:pPr>
              <w:keepNext/>
              <w:keepLines/>
              <w:spacing w:after="0" w:line="240" w:lineRule="auto"/>
            </w:pPr>
            <w:r>
              <w:rPr>
                <w:sz w:val="18"/>
              </w:rPr>
              <w:t>Y006</w:t>
            </w:r>
          </w:p>
        </w:tc>
        <w:tc>
          <w:tcPr>
            <w:tcW w:w="1860" w:type="dxa"/>
            <w:tcMar>
              <w:top w:w="0" w:type="dxa"/>
              <w:bottom w:w="0" w:type="dxa"/>
            </w:tcMar>
            <w:vAlign w:val="center"/>
          </w:tcPr>
          <w:p w:rsidR="007C37F0" w:rsidRDefault="00BF0EB0">
            <w:pPr>
              <w:keepNext/>
              <w:keepLines/>
              <w:spacing w:after="0" w:line="240" w:lineRule="auto"/>
              <w:jc w:val="right"/>
            </w:pPr>
            <w:r>
              <w:rPr>
                <w:sz w:val="18"/>
              </w:rPr>
              <w:t>13.151.460,22</w:t>
            </w:r>
          </w:p>
        </w:tc>
        <w:tc>
          <w:tcPr>
            <w:tcW w:w="1860" w:type="dxa"/>
            <w:tcMar>
              <w:top w:w="0" w:type="dxa"/>
              <w:bottom w:w="0" w:type="dxa"/>
            </w:tcMar>
            <w:vAlign w:val="center"/>
          </w:tcPr>
          <w:p w:rsidR="007C37F0" w:rsidRDefault="00BF0EB0">
            <w:pPr>
              <w:keepNext/>
              <w:keepLines/>
              <w:spacing w:after="0" w:line="240" w:lineRule="auto"/>
              <w:jc w:val="right"/>
            </w:pPr>
            <w:r>
              <w:rPr>
                <w:sz w:val="18"/>
              </w:rPr>
              <w:t>19.391.604,52</w:t>
            </w:r>
          </w:p>
        </w:tc>
        <w:tc>
          <w:tcPr>
            <w:tcW w:w="700" w:type="dxa"/>
            <w:tcMar>
              <w:top w:w="0" w:type="dxa"/>
              <w:bottom w:w="0" w:type="dxa"/>
            </w:tcMar>
            <w:vAlign w:val="center"/>
          </w:tcPr>
          <w:p w:rsidR="007C37F0" w:rsidRDefault="00BF0EB0">
            <w:pPr>
              <w:keepNext/>
              <w:keepLines/>
              <w:spacing w:after="0" w:line="240" w:lineRule="auto"/>
              <w:jc w:val="right"/>
            </w:pPr>
            <w:r>
              <w:rPr>
                <w:sz w:val="18"/>
              </w:rPr>
              <w:t>147,4</w:t>
            </w:r>
          </w:p>
        </w:tc>
      </w:tr>
    </w:tbl>
    <w:p w:rsidR="007C37F0" w:rsidRDefault="007C37F0">
      <w:pPr>
        <w:spacing w:after="0"/>
      </w:pPr>
    </w:p>
    <w:p w:rsidR="007C37F0" w:rsidRDefault="00BF0EB0" w:rsidP="00FD1901">
      <w:pPr>
        <w:jc w:val="both"/>
      </w:pPr>
      <w:r>
        <w:t>Kapitalni prihodi i financijski primici utjecali su na rezultat redovnog poslovanja (smanjili su ga), nabavljena nefinancijska imovina na rezultat od nefinancijske imovine (umanjili su rezultat godine za provedenu korekciju), a financijski primici na financijsku imovinu (umanjili su rezultat godine za provedenu korekciju) . Provedena je korekcija rezultata na način da se za iznos od 9.522.743,39 eura smanjuje račun viška prihoda poslovanja, a odobrava račun manjka prihoda od nefinancijske imovine za iznos od 9.038.452,42 eura te račun manjka prihoda od financijske imovine za iznos od 484.290,97 eura. Nakon provedenih korekcija dobivamo manjak prihoda iz redovnog poslovanja u iznosu 2.448.544,53 eura.</w:t>
      </w:r>
    </w:p>
    <w:p w:rsidR="007C37F0" w:rsidRDefault="00BF0EB0" w:rsidP="00FD1901">
      <w:pPr>
        <w:jc w:val="both"/>
      </w:pPr>
      <w:r>
        <w:t>Manjak prihoda od nefinancijske imovine tekuće godine iznosi 13.331.796,94 eura, iznos prenesenog manjka prihoda od nefinancijske imovine iznosi 11.062.656,41 eura, a sastoji se od početnog stanja na dan 01.01.2025. godine u iznosu 11.297.980,31 eura i korekcije rezultata iz prethodnih godina u iznosu 235.323,90 eura kojim se dodatno umanjuje preneseni manjak od nefinancijske imovine za neiskazani višak prihoda u prethodnim godinama. Ukupni manjak od nefinancijske imovine  korigirani (umanjen) iznosi 15.356.000,93 eura.</w:t>
      </w:r>
    </w:p>
    <w:p w:rsidR="007C37F0" w:rsidRDefault="00BF0EB0" w:rsidP="00FD1901">
      <w:pPr>
        <w:jc w:val="both"/>
      </w:pPr>
      <w:r>
        <w:t>Manjak primitaka od financijske imovine ostvaren u izvještajnom razdoblju iznosi 363.322,88 eura, preneseni manjak iz prethodnih godina iznosi 1.708.027,15 eura. Sredstva iz decentralizacije utjecali su na rezultat financijske imovine (smanjili su ga za provedenu korekciju) u iznosu 484.290,97 eura. Ukupni manjak  primitaka od financijske imovine korigirani iznosi 1.587.059,06 eura.</w:t>
      </w:r>
    </w:p>
    <w:p w:rsidR="007C37F0" w:rsidRDefault="00BF0EB0">
      <w:r>
        <w:t> </w:t>
      </w:r>
    </w:p>
    <w:p w:rsidR="007C37F0" w:rsidRDefault="007C37F0"/>
    <w:p w:rsidR="007C37F0" w:rsidRDefault="00BF0EB0">
      <w:pPr>
        <w:keepNext/>
        <w:spacing w:line="240" w:lineRule="auto"/>
        <w:jc w:val="center"/>
      </w:pPr>
      <w:r>
        <w:rPr>
          <w:b/>
          <w:sz w:val="28"/>
        </w:rPr>
        <w:t>Bilanca</w:t>
      </w:r>
    </w:p>
    <w:p w:rsidR="007C37F0" w:rsidRDefault="00BF0EB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01</w:t>
            </w:r>
          </w:p>
        </w:tc>
        <w:tc>
          <w:tcPr>
            <w:tcW w:w="3180" w:type="dxa"/>
            <w:tcMar>
              <w:top w:w="0" w:type="dxa"/>
              <w:bottom w:w="0" w:type="dxa"/>
            </w:tcMar>
            <w:vAlign w:val="center"/>
          </w:tcPr>
          <w:p w:rsidR="007C37F0" w:rsidRDefault="00BF0EB0">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7C37F0" w:rsidRDefault="00BF0EB0">
            <w:pPr>
              <w:keepNext/>
              <w:keepLines/>
              <w:spacing w:after="0" w:line="240" w:lineRule="auto"/>
            </w:pPr>
            <w:r>
              <w:rPr>
                <w:sz w:val="18"/>
              </w:rPr>
              <w:t>01</w:t>
            </w:r>
          </w:p>
        </w:tc>
        <w:tc>
          <w:tcPr>
            <w:tcW w:w="1860" w:type="dxa"/>
            <w:tcMar>
              <w:top w:w="0" w:type="dxa"/>
              <w:bottom w:w="0" w:type="dxa"/>
            </w:tcMar>
            <w:vAlign w:val="center"/>
          </w:tcPr>
          <w:p w:rsidR="007C37F0" w:rsidRDefault="00BF0EB0">
            <w:pPr>
              <w:keepNext/>
              <w:keepLines/>
              <w:spacing w:after="0" w:line="240" w:lineRule="auto"/>
              <w:jc w:val="right"/>
            </w:pPr>
            <w:r>
              <w:rPr>
                <w:sz w:val="18"/>
              </w:rPr>
              <w:t>525.054,03</w:t>
            </w:r>
          </w:p>
        </w:tc>
        <w:tc>
          <w:tcPr>
            <w:tcW w:w="1860" w:type="dxa"/>
            <w:tcMar>
              <w:top w:w="0" w:type="dxa"/>
              <w:bottom w:w="0" w:type="dxa"/>
            </w:tcMar>
            <w:vAlign w:val="center"/>
          </w:tcPr>
          <w:p w:rsidR="007C37F0" w:rsidRDefault="00BF0EB0">
            <w:pPr>
              <w:keepNext/>
              <w:keepLines/>
              <w:spacing w:after="0" w:line="240" w:lineRule="auto"/>
              <w:jc w:val="right"/>
            </w:pPr>
            <w:r>
              <w:rPr>
                <w:sz w:val="18"/>
              </w:rPr>
              <w:t>547.173,61</w:t>
            </w:r>
          </w:p>
        </w:tc>
        <w:tc>
          <w:tcPr>
            <w:tcW w:w="700" w:type="dxa"/>
            <w:tcMar>
              <w:top w:w="0" w:type="dxa"/>
              <w:bottom w:w="0" w:type="dxa"/>
            </w:tcMar>
            <w:vAlign w:val="center"/>
          </w:tcPr>
          <w:p w:rsidR="007C37F0" w:rsidRDefault="00BF0EB0">
            <w:pPr>
              <w:keepNext/>
              <w:keepLines/>
              <w:spacing w:after="0" w:line="240" w:lineRule="auto"/>
              <w:jc w:val="right"/>
            </w:pPr>
            <w:r>
              <w:rPr>
                <w:sz w:val="18"/>
              </w:rPr>
              <w:t>104,2</w:t>
            </w:r>
          </w:p>
        </w:tc>
      </w:tr>
    </w:tbl>
    <w:p w:rsidR="007C37F0" w:rsidRDefault="007C37F0">
      <w:pPr>
        <w:spacing w:after="0"/>
      </w:pPr>
    </w:p>
    <w:p w:rsidR="007C37F0" w:rsidRDefault="00BF0EB0">
      <w:r>
        <w:t xml:space="preserve">Stanje </w:t>
      </w:r>
      <w:proofErr w:type="spellStart"/>
      <w:r>
        <w:t>neproizvedene</w:t>
      </w:r>
      <w:proofErr w:type="spellEnd"/>
      <w:r>
        <w:t xml:space="preserve"> dugotrajne imovine povećano je tijekom 2025. godine za 4,20% ili za 22.119,58 eura, a odnosi se na nabavu pristupa medicinskoj dokumentaciji u elektronskom </w:t>
      </w:r>
      <w:r>
        <w:lastRenderedPageBreak/>
        <w:t>obliku '</w:t>
      </w:r>
      <w:proofErr w:type="spellStart"/>
      <w:r>
        <w:t>UpToDate</w:t>
      </w:r>
      <w:proofErr w:type="spellEnd"/>
      <w:r>
        <w:t xml:space="preserve"> </w:t>
      </w:r>
      <w:proofErr w:type="spellStart"/>
      <w:r>
        <w:t>Anywhere</w:t>
      </w:r>
      <w:proofErr w:type="spellEnd"/>
      <w:r>
        <w:t xml:space="preserve">", naknade za održavanje postojećih licenci, u novim licencama za softver za backup i oporavak podataka u skladu s NIS2 direktivom, licence za </w:t>
      </w:r>
      <w:proofErr w:type="spellStart"/>
      <w:r>
        <w:t>firewall</w:t>
      </w:r>
      <w:proofErr w:type="spellEnd"/>
      <w:r>
        <w:t xml:space="preserve"> uređaj radi slojevite obnove mreže u stvarnom vremenu, kao i licence potrebne za rad robotskog uređaja za jedinično izdavanje terapije (lijekova).</w:t>
      </w:r>
    </w:p>
    <w:p w:rsidR="007C37F0" w:rsidRDefault="007C37F0"/>
    <w:p w:rsidR="007C37F0" w:rsidRDefault="00BF0EB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02</w:t>
            </w:r>
          </w:p>
        </w:tc>
        <w:tc>
          <w:tcPr>
            <w:tcW w:w="3180" w:type="dxa"/>
            <w:tcMar>
              <w:top w:w="0" w:type="dxa"/>
              <w:bottom w:w="0" w:type="dxa"/>
            </w:tcMar>
            <w:vAlign w:val="center"/>
          </w:tcPr>
          <w:p w:rsidR="007C37F0" w:rsidRDefault="00BF0EB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7C37F0" w:rsidRDefault="00BF0EB0">
            <w:pPr>
              <w:keepNext/>
              <w:keepLines/>
              <w:spacing w:after="0" w:line="240" w:lineRule="auto"/>
            </w:pPr>
            <w:r>
              <w:rPr>
                <w:sz w:val="18"/>
              </w:rPr>
              <w:t>02</w:t>
            </w:r>
          </w:p>
        </w:tc>
        <w:tc>
          <w:tcPr>
            <w:tcW w:w="1860" w:type="dxa"/>
            <w:tcMar>
              <w:top w:w="0" w:type="dxa"/>
              <w:bottom w:w="0" w:type="dxa"/>
            </w:tcMar>
            <w:vAlign w:val="center"/>
          </w:tcPr>
          <w:p w:rsidR="007C37F0" w:rsidRDefault="00BF0EB0">
            <w:pPr>
              <w:keepNext/>
              <w:keepLines/>
              <w:spacing w:after="0" w:line="240" w:lineRule="auto"/>
              <w:jc w:val="right"/>
            </w:pPr>
            <w:r>
              <w:rPr>
                <w:sz w:val="18"/>
              </w:rPr>
              <w:t>49.455.285,87</w:t>
            </w:r>
          </w:p>
        </w:tc>
        <w:tc>
          <w:tcPr>
            <w:tcW w:w="1860" w:type="dxa"/>
            <w:tcMar>
              <w:top w:w="0" w:type="dxa"/>
              <w:bottom w:w="0" w:type="dxa"/>
            </w:tcMar>
            <w:vAlign w:val="center"/>
          </w:tcPr>
          <w:p w:rsidR="007C37F0" w:rsidRDefault="00BF0EB0">
            <w:pPr>
              <w:keepNext/>
              <w:keepLines/>
              <w:spacing w:after="0" w:line="240" w:lineRule="auto"/>
              <w:jc w:val="right"/>
            </w:pPr>
            <w:r>
              <w:rPr>
                <w:sz w:val="18"/>
              </w:rPr>
              <w:t>48.015.816,66</w:t>
            </w:r>
          </w:p>
        </w:tc>
        <w:tc>
          <w:tcPr>
            <w:tcW w:w="700" w:type="dxa"/>
            <w:tcMar>
              <w:top w:w="0" w:type="dxa"/>
              <w:bottom w:w="0" w:type="dxa"/>
            </w:tcMar>
            <w:vAlign w:val="center"/>
          </w:tcPr>
          <w:p w:rsidR="007C37F0" w:rsidRDefault="00BF0EB0">
            <w:pPr>
              <w:keepNext/>
              <w:keepLines/>
              <w:spacing w:after="0" w:line="240" w:lineRule="auto"/>
              <w:jc w:val="right"/>
            </w:pPr>
            <w:r>
              <w:rPr>
                <w:sz w:val="18"/>
              </w:rPr>
              <w:t>97,1</w:t>
            </w:r>
          </w:p>
        </w:tc>
      </w:tr>
    </w:tbl>
    <w:p w:rsidR="007C37F0" w:rsidRDefault="007C37F0">
      <w:pPr>
        <w:spacing w:after="0"/>
      </w:pPr>
    </w:p>
    <w:p w:rsidR="007C37F0" w:rsidRDefault="00BF0EB0">
      <w:r>
        <w:t>Bilježi smanjenje za 2,90% ili za 1.439.469,21 eura.</w:t>
      </w:r>
    </w:p>
    <w:p w:rsidR="007C37F0" w:rsidRDefault="007C37F0"/>
    <w:p w:rsidR="007C37F0" w:rsidRDefault="00BF0EB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021 i 02921</w:t>
            </w:r>
          </w:p>
        </w:tc>
        <w:tc>
          <w:tcPr>
            <w:tcW w:w="3180" w:type="dxa"/>
            <w:tcMar>
              <w:top w:w="0" w:type="dxa"/>
              <w:bottom w:w="0" w:type="dxa"/>
            </w:tcMar>
            <w:vAlign w:val="center"/>
          </w:tcPr>
          <w:p w:rsidR="007C37F0" w:rsidRDefault="00BF0EB0">
            <w:pPr>
              <w:keepNext/>
              <w:keepLines/>
              <w:spacing w:after="0" w:line="240" w:lineRule="auto"/>
            </w:pPr>
            <w:r>
              <w:rPr>
                <w:sz w:val="18"/>
              </w:rPr>
              <w:t>Građevinski objekti (šifre 0211 do 0214 - 02921)</w:t>
            </w:r>
          </w:p>
        </w:tc>
        <w:tc>
          <w:tcPr>
            <w:tcW w:w="700" w:type="dxa"/>
            <w:tcMar>
              <w:top w:w="0" w:type="dxa"/>
              <w:bottom w:w="0" w:type="dxa"/>
            </w:tcMar>
            <w:vAlign w:val="center"/>
          </w:tcPr>
          <w:p w:rsidR="007C37F0" w:rsidRDefault="00BF0EB0">
            <w:pPr>
              <w:keepNext/>
              <w:keepLines/>
              <w:spacing w:after="0" w:line="240" w:lineRule="auto"/>
            </w:pPr>
            <w:r>
              <w:rPr>
                <w:sz w:val="18"/>
              </w:rPr>
              <w:t>021 i 02921</w:t>
            </w:r>
          </w:p>
        </w:tc>
        <w:tc>
          <w:tcPr>
            <w:tcW w:w="1860" w:type="dxa"/>
            <w:tcMar>
              <w:top w:w="0" w:type="dxa"/>
              <w:bottom w:w="0" w:type="dxa"/>
            </w:tcMar>
            <w:vAlign w:val="center"/>
          </w:tcPr>
          <w:p w:rsidR="007C37F0" w:rsidRDefault="00BF0EB0">
            <w:pPr>
              <w:keepNext/>
              <w:keepLines/>
              <w:spacing w:after="0" w:line="240" w:lineRule="auto"/>
              <w:jc w:val="right"/>
            </w:pPr>
            <w:r>
              <w:rPr>
                <w:sz w:val="18"/>
              </w:rPr>
              <w:t>45.500.445,18</w:t>
            </w:r>
          </w:p>
        </w:tc>
        <w:tc>
          <w:tcPr>
            <w:tcW w:w="1860" w:type="dxa"/>
            <w:tcMar>
              <w:top w:w="0" w:type="dxa"/>
              <w:bottom w:w="0" w:type="dxa"/>
            </w:tcMar>
            <w:vAlign w:val="center"/>
          </w:tcPr>
          <w:p w:rsidR="007C37F0" w:rsidRDefault="00BF0EB0">
            <w:pPr>
              <w:keepNext/>
              <w:keepLines/>
              <w:spacing w:after="0" w:line="240" w:lineRule="auto"/>
              <w:jc w:val="right"/>
            </w:pPr>
            <w:r>
              <w:rPr>
                <w:sz w:val="18"/>
              </w:rPr>
              <w:t>44.738.185,33</w:t>
            </w:r>
          </w:p>
        </w:tc>
        <w:tc>
          <w:tcPr>
            <w:tcW w:w="700" w:type="dxa"/>
            <w:tcMar>
              <w:top w:w="0" w:type="dxa"/>
              <w:bottom w:w="0" w:type="dxa"/>
            </w:tcMar>
            <w:vAlign w:val="center"/>
          </w:tcPr>
          <w:p w:rsidR="007C37F0" w:rsidRDefault="00BF0EB0">
            <w:pPr>
              <w:keepNext/>
              <w:keepLines/>
              <w:spacing w:after="0" w:line="240" w:lineRule="auto"/>
              <w:jc w:val="right"/>
            </w:pPr>
            <w:r>
              <w:rPr>
                <w:sz w:val="18"/>
              </w:rPr>
              <w:t>98,3</w:t>
            </w:r>
          </w:p>
        </w:tc>
      </w:tr>
    </w:tbl>
    <w:p w:rsidR="007C37F0" w:rsidRDefault="007C37F0">
      <w:pPr>
        <w:spacing w:after="0"/>
      </w:pPr>
    </w:p>
    <w:p w:rsidR="007C37F0" w:rsidRDefault="00BF0EB0" w:rsidP="00FD1901">
      <w:pPr>
        <w:jc w:val="both"/>
      </w:pPr>
      <w:r>
        <w:t>Bilježe smanjenje za 1,70% ili za 762.259,85 eura. Na poslovnim objektima evidentirano povećanje za 0,01%, odnosno za 76.678,75 eura, a odnosi se na zaprimljenu okončanu situaciju za rekonstrukciju krovišta bazena 4, radovi su završili, objekt stavljen u upotrebu. Ispravak vrijednosti potraživanja građevinskih objekata veći je za 3,90% ili za 838.938,60 eura. </w:t>
      </w:r>
    </w:p>
    <w:p w:rsidR="007C37F0" w:rsidRDefault="007C37F0"/>
    <w:p w:rsidR="007C37F0" w:rsidRDefault="00BF0EB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022 i 02922</w:t>
            </w:r>
          </w:p>
        </w:tc>
        <w:tc>
          <w:tcPr>
            <w:tcW w:w="3180" w:type="dxa"/>
            <w:tcMar>
              <w:top w:w="0" w:type="dxa"/>
              <w:bottom w:w="0" w:type="dxa"/>
            </w:tcMar>
            <w:vAlign w:val="center"/>
          </w:tcPr>
          <w:p w:rsidR="007C37F0" w:rsidRDefault="00BF0EB0">
            <w:pPr>
              <w:keepNext/>
              <w:keepLines/>
              <w:spacing w:after="0" w:line="240" w:lineRule="auto"/>
            </w:pPr>
            <w:r>
              <w:rPr>
                <w:sz w:val="18"/>
              </w:rPr>
              <w:t>Postrojenja i oprema (šifre 0221 do 0228 - 02922)</w:t>
            </w:r>
          </w:p>
        </w:tc>
        <w:tc>
          <w:tcPr>
            <w:tcW w:w="700" w:type="dxa"/>
            <w:tcMar>
              <w:top w:w="0" w:type="dxa"/>
              <w:bottom w:w="0" w:type="dxa"/>
            </w:tcMar>
            <w:vAlign w:val="center"/>
          </w:tcPr>
          <w:p w:rsidR="007C37F0" w:rsidRDefault="00BF0EB0">
            <w:pPr>
              <w:keepNext/>
              <w:keepLines/>
              <w:spacing w:after="0" w:line="240" w:lineRule="auto"/>
            </w:pPr>
            <w:r>
              <w:rPr>
                <w:sz w:val="18"/>
              </w:rPr>
              <w:t>022 i 02922</w:t>
            </w:r>
          </w:p>
        </w:tc>
        <w:tc>
          <w:tcPr>
            <w:tcW w:w="1860" w:type="dxa"/>
            <w:tcMar>
              <w:top w:w="0" w:type="dxa"/>
              <w:bottom w:w="0" w:type="dxa"/>
            </w:tcMar>
            <w:vAlign w:val="center"/>
          </w:tcPr>
          <w:p w:rsidR="007C37F0" w:rsidRDefault="00BF0EB0">
            <w:pPr>
              <w:keepNext/>
              <w:keepLines/>
              <w:spacing w:after="0" w:line="240" w:lineRule="auto"/>
              <w:jc w:val="right"/>
            </w:pPr>
            <w:r>
              <w:rPr>
                <w:sz w:val="18"/>
              </w:rPr>
              <w:t>3.634.768,81</w:t>
            </w:r>
          </w:p>
        </w:tc>
        <w:tc>
          <w:tcPr>
            <w:tcW w:w="1860" w:type="dxa"/>
            <w:tcMar>
              <w:top w:w="0" w:type="dxa"/>
              <w:bottom w:w="0" w:type="dxa"/>
            </w:tcMar>
            <w:vAlign w:val="center"/>
          </w:tcPr>
          <w:p w:rsidR="007C37F0" w:rsidRDefault="00BF0EB0">
            <w:pPr>
              <w:keepNext/>
              <w:keepLines/>
              <w:spacing w:after="0" w:line="240" w:lineRule="auto"/>
              <w:jc w:val="right"/>
            </w:pPr>
            <w:r>
              <w:rPr>
                <w:sz w:val="18"/>
              </w:rPr>
              <w:t>2.982.329,28</w:t>
            </w:r>
          </w:p>
        </w:tc>
        <w:tc>
          <w:tcPr>
            <w:tcW w:w="700" w:type="dxa"/>
            <w:tcMar>
              <w:top w:w="0" w:type="dxa"/>
              <w:bottom w:w="0" w:type="dxa"/>
            </w:tcMar>
            <w:vAlign w:val="center"/>
          </w:tcPr>
          <w:p w:rsidR="007C37F0" w:rsidRDefault="00BF0EB0">
            <w:pPr>
              <w:keepNext/>
              <w:keepLines/>
              <w:spacing w:after="0" w:line="240" w:lineRule="auto"/>
              <w:jc w:val="right"/>
            </w:pPr>
            <w:r>
              <w:rPr>
                <w:sz w:val="18"/>
              </w:rPr>
              <w:t>82,1</w:t>
            </w:r>
          </w:p>
        </w:tc>
      </w:tr>
    </w:tbl>
    <w:p w:rsidR="007C37F0" w:rsidRDefault="007C37F0">
      <w:pPr>
        <w:spacing w:after="0"/>
      </w:pPr>
    </w:p>
    <w:p w:rsidR="007C37F0" w:rsidRDefault="00BF0EB0" w:rsidP="00FD1901">
      <w:pPr>
        <w:jc w:val="both"/>
      </w:pPr>
      <w:r>
        <w:t>Bilježi smanjenje za 17,90% ili za 652.439,53 eura. Smanjenje je evidentirano na uredskoj opremi i namještaju za 2,10%, na instrumentima i uređajima za 0,60%, na uređajima, strojevima i opremi za ostale namjene za 1,70%. Povećanje je evidentirano na medicinskoj i laboratorijskoj opremi (razna medicinska oprema i aparati) za 4,90%, komunikacijskoj opremi (televizori) za 0,30%, oprema za održavanje i zaštitu za 0,30%.  Smanjenje je rezultat rashoda tijekom godine.</w:t>
      </w:r>
    </w:p>
    <w:p w:rsidR="007C37F0" w:rsidRDefault="007C37F0"/>
    <w:p w:rsidR="007C37F0" w:rsidRDefault="00BF0EB0">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023 i 02923</w:t>
            </w:r>
          </w:p>
        </w:tc>
        <w:tc>
          <w:tcPr>
            <w:tcW w:w="3180" w:type="dxa"/>
            <w:tcMar>
              <w:top w:w="0" w:type="dxa"/>
              <w:bottom w:w="0" w:type="dxa"/>
            </w:tcMar>
            <w:vAlign w:val="center"/>
          </w:tcPr>
          <w:p w:rsidR="007C37F0" w:rsidRDefault="00BF0EB0">
            <w:pPr>
              <w:keepNext/>
              <w:keepLines/>
              <w:spacing w:after="0" w:line="240" w:lineRule="auto"/>
            </w:pPr>
            <w:r>
              <w:rPr>
                <w:sz w:val="18"/>
              </w:rPr>
              <w:t>Prijevozna sredstva (šifre 0231 do 0234 - 02923)</w:t>
            </w:r>
          </w:p>
        </w:tc>
        <w:tc>
          <w:tcPr>
            <w:tcW w:w="700" w:type="dxa"/>
            <w:tcMar>
              <w:top w:w="0" w:type="dxa"/>
              <w:bottom w:w="0" w:type="dxa"/>
            </w:tcMar>
            <w:vAlign w:val="center"/>
          </w:tcPr>
          <w:p w:rsidR="007C37F0" w:rsidRDefault="00BF0EB0">
            <w:pPr>
              <w:keepNext/>
              <w:keepLines/>
              <w:spacing w:after="0" w:line="240" w:lineRule="auto"/>
            </w:pPr>
            <w:r>
              <w:rPr>
                <w:sz w:val="18"/>
              </w:rPr>
              <w:t>023 i 02923</w:t>
            </w:r>
          </w:p>
        </w:tc>
        <w:tc>
          <w:tcPr>
            <w:tcW w:w="1860" w:type="dxa"/>
            <w:tcMar>
              <w:top w:w="0" w:type="dxa"/>
              <w:bottom w:w="0" w:type="dxa"/>
            </w:tcMar>
            <w:vAlign w:val="center"/>
          </w:tcPr>
          <w:p w:rsidR="007C37F0" w:rsidRDefault="00BF0EB0">
            <w:pPr>
              <w:keepNext/>
              <w:keepLines/>
              <w:spacing w:after="0" w:line="240" w:lineRule="auto"/>
              <w:jc w:val="right"/>
            </w:pPr>
            <w:r>
              <w:rPr>
                <w:sz w:val="18"/>
              </w:rPr>
              <w:t>81.263,17</w:t>
            </w:r>
          </w:p>
        </w:tc>
        <w:tc>
          <w:tcPr>
            <w:tcW w:w="1860" w:type="dxa"/>
            <w:tcMar>
              <w:top w:w="0" w:type="dxa"/>
              <w:bottom w:w="0" w:type="dxa"/>
            </w:tcMar>
            <w:vAlign w:val="center"/>
          </w:tcPr>
          <w:p w:rsidR="007C37F0" w:rsidRDefault="00BF0EB0">
            <w:pPr>
              <w:keepNext/>
              <w:keepLines/>
              <w:spacing w:after="0" w:line="240" w:lineRule="auto"/>
              <w:jc w:val="right"/>
            </w:pPr>
            <w:r>
              <w:rPr>
                <w:sz w:val="18"/>
              </w:rPr>
              <w:t>55.063,07</w:t>
            </w:r>
          </w:p>
        </w:tc>
        <w:tc>
          <w:tcPr>
            <w:tcW w:w="700" w:type="dxa"/>
            <w:tcMar>
              <w:top w:w="0" w:type="dxa"/>
              <w:bottom w:w="0" w:type="dxa"/>
            </w:tcMar>
            <w:vAlign w:val="center"/>
          </w:tcPr>
          <w:p w:rsidR="007C37F0" w:rsidRDefault="00BF0EB0">
            <w:pPr>
              <w:keepNext/>
              <w:keepLines/>
              <w:spacing w:after="0" w:line="240" w:lineRule="auto"/>
              <w:jc w:val="right"/>
            </w:pPr>
            <w:r>
              <w:rPr>
                <w:sz w:val="18"/>
              </w:rPr>
              <w:t>67,8</w:t>
            </w:r>
          </w:p>
        </w:tc>
      </w:tr>
    </w:tbl>
    <w:p w:rsidR="007C37F0" w:rsidRDefault="007C37F0">
      <w:pPr>
        <w:spacing w:after="0"/>
      </w:pPr>
    </w:p>
    <w:p w:rsidR="007C37F0" w:rsidRDefault="00BF0EB0">
      <w:r>
        <w:t>Evidentirano smanjenje za 32,20% ili 26.200,10 eura, a odnosi se na ispravak vrijednosti prijevoznih sredstava u upotrebi. U poslovnoj 2024. godini nabavljeno je osobno vozilo. </w:t>
      </w:r>
    </w:p>
    <w:p w:rsidR="007C37F0" w:rsidRDefault="007C37F0"/>
    <w:p w:rsidR="007C37F0" w:rsidRDefault="00BF0EB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026 i 02926</w:t>
            </w:r>
          </w:p>
        </w:tc>
        <w:tc>
          <w:tcPr>
            <w:tcW w:w="3180" w:type="dxa"/>
            <w:tcMar>
              <w:top w:w="0" w:type="dxa"/>
              <w:bottom w:w="0" w:type="dxa"/>
            </w:tcMar>
            <w:vAlign w:val="center"/>
          </w:tcPr>
          <w:p w:rsidR="007C37F0" w:rsidRDefault="00BF0EB0">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rsidR="007C37F0" w:rsidRDefault="00BF0EB0">
            <w:pPr>
              <w:keepNext/>
              <w:keepLines/>
              <w:spacing w:after="0" w:line="240" w:lineRule="auto"/>
            </w:pPr>
            <w:r>
              <w:rPr>
                <w:sz w:val="18"/>
              </w:rPr>
              <w:t>026 i 02926</w:t>
            </w:r>
          </w:p>
        </w:tc>
        <w:tc>
          <w:tcPr>
            <w:tcW w:w="1860" w:type="dxa"/>
            <w:tcMar>
              <w:top w:w="0" w:type="dxa"/>
              <w:bottom w:w="0" w:type="dxa"/>
            </w:tcMar>
            <w:vAlign w:val="center"/>
          </w:tcPr>
          <w:p w:rsidR="007C37F0" w:rsidRDefault="00BF0EB0">
            <w:pPr>
              <w:keepNext/>
              <w:keepLines/>
              <w:spacing w:after="0" w:line="240" w:lineRule="auto"/>
              <w:jc w:val="right"/>
            </w:pPr>
            <w:r>
              <w:rPr>
                <w:sz w:val="18"/>
              </w:rPr>
              <w:t>229.535,52</w:t>
            </w:r>
          </w:p>
        </w:tc>
        <w:tc>
          <w:tcPr>
            <w:tcW w:w="1860" w:type="dxa"/>
            <w:tcMar>
              <w:top w:w="0" w:type="dxa"/>
              <w:bottom w:w="0" w:type="dxa"/>
            </w:tcMar>
            <w:vAlign w:val="center"/>
          </w:tcPr>
          <w:p w:rsidR="007C37F0" w:rsidRDefault="00BF0EB0">
            <w:pPr>
              <w:keepNext/>
              <w:keepLines/>
              <w:spacing w:after="0" w:line="240" w:lineRule="auto"/>
              <w:jc w:val="right"/>
            </w:pPr>
            <w:r>
              <w:rPr>
                <w:sz w:val="18"/>
              </w:rPr>
              <w:t>230.969,77</w:t>
            </w:r>
          </w:p>
        </w:tc>
        <w:tc>
          <w:tcPr>
            <w:tcW w:w="700" w:type="dxa"/>
            <w:tcMar>
              <w:top w:w="0" w:type="dxa"/>
              <w:bottom w:w="0" w:type="dxa"/>
            </w:tcMar>
            <w:vAlign w:val="center"/>
          </w:tcPr>
          <w:p w:rsidR="007C37F0" w:rsidRDefault="00BF0EB0">
            <w:pPr>
              <w:keepNext/>
              <w:keepLines/>
              <w:spacing w:after="0" w:line="240" w:lineRule="auto"/>
              <w:jc w:val="right"/>
            </w:pPr>
            <w:r>
              <w:rPr>
                <w:sz w:val="18"/>
              </w:rPr>
              <w:t>100,6</w:t>
            </w:r>
          </w:p>
        </w:tc>
      </w:tr>
    </w:tbl>
    <w:p w:rsidR="007C37F0" w:rsidRDefault="007C37F0">
      <w:pPr>
        <w:spacing w:after="0"/>
      </w:pPr>
    </w:p>
    <w:p w:rsidR="007C37F0" w:rsidRDefault="00BF0EB0">
      <w:r>
        <w:t xml:space="preserve">Evidentirano povećanje za 0,60% ili 1.434,25 eura, a odnosi se na nabavu Bio </w:t>
      </w:r>
      <w:proofErr w:type="spellStart"/>
      <w:r>
        <w:t>net</w:t>
      </w:r>
      <w:proofErr w:type="spellEnd"/>
      <w:r>
        <w:t xml:space="preserve"> radnog mjesta za laboratorijski sustav te implementaciju </w:t>
      </w:r>
      <w:proofErr w:type="spellStart"/>
      <w:r>
        <w:t>Pharmalogger</w:t>
      </w:r>
      <w:proofErr w:type="spellEnd"/>
      <w:r>
        <w:t xml:space="preserve"> sustava za nadzor temperature. U poslovnoj 2024. godini izvršena je integracija ljekarničkog programa sa odjelnim skladištima te nadogradnja programa IN2 s modulom za dostavu prijave zaraznih bolesti.</w:t>
      </w:r>
    </w:p>
    <w:p w:rsidR="007C37F0" w:rsidRDefault="007C37F0"/>
    <w:p w:rsidR="007C37F0" w:rsidRDefault="00BF0EB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04</w:t>
            </w:r>
          </w:p>
        </w:tc>
        <w:tc>
          <w:tcPr>
            <w:tcW w:w="3180" w:type="dxa"/>
            <w:tcMar>
              <w:top w:w="0" w:type="dxa"/>
              <w:bottom w:w="0" w:type="dxa"/>
            </w:tcMar>
            <w:vAlign w:val="center"/>
          </w:tcPr>
          <w:p w:rsidR="007C37F0" w:rsidRDefault="00BF0EB0">
            <w:pPr>
              <w:keepNext/>
              <w:keepLines/>
              <w:spacing w:after="0" w:line="240" w:lineRule="auto"/>
            </w:pPr>
            <w:r>
              <w:rPr>
                <w:sz w:val="18"/>
              </w:rPr>
              <w:t xml:space="preserve">Sitni inventar i </w:t>
            </w:r>
            <w:proofErr w:type="spellStart"/>
            <w:r>
              <w:rPr>
                <w:sz w:val="18"/>
              </w:rPr>
              <w:t>autogume</w:t>
            </w:r>
            <w:proofErr w:type="spellEnd"/>
            <w:r>
              <w:rPr>
                <w:sz w:val="18"/>
              </w:rPr>
              <w:t xml:space="preserve"> (šifre 041+042-049)</w:t>
            </w:r>
          </w:p>
        </w:tc>
        <w:tc>
          <w:tcPr>
            <w:tcW w:w="700" w:type="dxa"/>
            <w:tcMar>
              <w:top w:w="0" w:type="dxa"/>
              <w:bottom w:w="0" w:type="dxa"/>
            </w:tcMar>
            <w:vAlign w:val="center"/>
          </w:tcPr>
          <w:p w:rsidR="007C37F0" w:rsidRDefault="00BF0EB0">
            <w:pPr>
              <w:keepNext/>
              <w:keepLines/>
              <w:spacing w:after="0" w:line="240" w:lineRule="auto"/>
            </w:pPr>
            <w:r>
              <w:rPr>
                <w:sz w:val="18"/>
              </w:rPr>
              <w:t>04</w:t>
            </w:r>
          </w:p>
        </w:tc>
        <w:tc>
          <w:tcPr>
            <w:tcW w:w="1860" w:type="dxa"/>
            <w:tcMar>
              <w:top w:w="0" w:type="dxa"/>
              <w:bottom w:w="0" w:type="dxa"/>
            </w:tcMar>
            <w:vAlign w:val="center"/>
          </w:tcPr>
          <w:p w:rsidR="007C37F0" w:rsidRDefault="00BF0EB0">
            <w:pPr>
              <w:keepNext/>
              <w:keepLines/>
              <w:spacing w:after="0" w:line="240" w:lineRule="auto"/>
              <w:jc w:val="right"/>
            </w:pPr>
            <w:r>
              <w:rPr>
                <w:sz w:val="18"/>
              </w:rPr>
              <w:t>29.118,73</w:t>
            </w:r>
          </w:p>
        </w:tc>
        <w:tc>
          <w:tcPr>
            <w:tcW w:w="1860" w:type="dxa"/>
            <w:tcMar>
              <w:top w:w="0" w:type="dxa"/>
              <w:bottom w:w="0" w:type="dxa"/>
            </w:tcMar>
            <w:vAlign w:val="center"/>
          </w:tcPr>
          <w:p w:rsidR="007C37F0" w:rsidRDefault="00BF0EB0">
            <w:pPr>
              <w:keepNext/>
              <w:keepLines/>
              <w:spacing w:after="0" w:line="240" w:lineRule="auto"/>
              <w:jc w:val="right"/>
            </w:pPr>
            <w:r>
              <w:rPr>
                <w:sz w:val="18"/>
              </w:rPr>
              <w:t>2.053,91</w:t>
            </w:r>
          </w:p>
        </w:tc>
        <w:tc>
          <w:tcPr>
            <w:tcW w:w="700" w:type="dxa"/>
            <w:tcMar>
              <w:top w:w="0" w:type="dxa"/>
              <w:bottom w:w="0" w:type="dxa"/>
            </w:tcMar>
            <w:vAlign w:val="center"/>
          </w:tcPr>
          <w:p w:rsidR="007C37F0" w:rsidRDefault="00BF0EB0">
            <w:pPr>
              <w:keepNext/>
              <w:keepLines/>
              <w:spacing w:after="0" w:line="240" w:lineRule="auto"/>
              <w:jc w:val="right"/>
            </w:pPr>
            <w:r>
              <w:rPr>
                <w:sz w:val="18"/>
              </w:rPr>
              <w:t>7,1</w:t>
            </w:r>
          </w:p>
        </w:tc>
      </w:tr>
    </w:tbl>
    <w:p w:rsidR="007C37F0" w:rsidRDefault="007C37F0">
      <w:pPr>
        <w:spacing w:after="0"/>
      </w:pPr>
    </w:p>
    <w:p w:rsidR="007C37F0" w:rsidRDefault="00BF0EB0" w:rsidP="00FD1901">
      <w:pPr>
        <w:jc w:val="both"/>
      </w:pPr>
      <w:r>
        <w:t>Bilježi se smanjenje za 92,90 %, odnosno za 27.064,82 eura u odnosu na stanje na dan 1. siječnja 2025. godine. U poslovnoj 2025. godini nabavljen je sitni materijal za bolničke odjele i Odjel fizikalne terapije u ukupnom iznosu od 19.079,12 eura, koji je odmah izdan sa zaliha, uključujući i izdavanje početnih zaliha.</w:t>
      </w:r>
    </w:p>
    <w:p w:rsidR="007C37F0" w:rsidRDefault="00BF0EB0" w:rsidP="00FD1901">
      <w:pPr>
        <w:jc w:val="both"/>
      </w:pPr>
      <w:r>
        <w:t>Zalihe sitnog inventara i auto-guma u upotrebi bilježe smanjenje od 3,40 %, budući da je tijekom godine izvršen rashod dotrajalog inventara. Ispravak vrijednosti sitnog inventara također bilježi smanjenje od 0,80 %.</w:t>
      </w:r>
    </w:p>
    <w:p w:rsidR="007C37F0" w:rsidRDefault="007C37F0"/>
    <w:p w:rsidR="007C37F0" w:rsidRDefault="00BF0EB0">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05</w:t>
            </w:r>
          </w:p>
        </w:tc>
        <w:tc>
          <w:tcPr>
            <w:tcW w:w="3180" w:type="dxa"/>
            <w:tcMar>
              <w:top w:w="0" w:type="dxa"/>
              <w:bottom w:w="0" w:type="dxa"/>
            </w:tcMar>
            <w:vAlign w:val="center"/>
          </w:tcPr>
          <w:p w:rsidR="007C37F0" w:rsidRDefault="00BF0EB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rsidR="007C37F0" w:rsidRDefault="00BF0EB0">
            <w:pPr>
              <w:keepNext/>
              <w:keepLines/>
              <w:spacing w:after="0" w:line="240" w:lineRule="auto"/>
            </w:pPr>
            <w:r>
              <w:rPr>
                <w:sz w:val="18"/>
              </w:rPr>
              <w:t>05</w:t>
            </w:r>
          </w:p>
        </w:tc>
        <w:tc>
          <w:tcPr>
            <w:tcW w:w="1860" w:type="dxa"/>
            <w:tcMar>
              <w:top w:w="0" w:type="dxa"/>
              <w:bottom w:w="0" w:type="dxa"/>
            </w:tcMar>
            <w:vAlign w:val="center"/>
          </w:tcPr>
          <w:p w:rsidR="007C37F0" w:rsidRDefault="00BF0EB0">
            <w:pPr>
              <w:keepNext/>
              <w:keepLines/>
              <w:spacing w:after="0" w:line="240" w:lineRule="auto"/>
              <w:jc w:val="right"/>
            </w:pPr>
            <w:r>
              <w:rPr>
                <w:sz w:val="18"/>
              </w:rPr>
              <w:t>249.195,67</w:t>
            </w:r>
          </w:p>
        </w:tc>
        <w:tc>
          <w:tcPr>
            <w:tcW w:w="1860" w:type="dxa"/>
            <w:tcMar>
              <w:top w:w="0" w:type="dxa"/>
              <w:bottom w:w="0" w:type="dxa"/>
            </w:tcMar>
            <w:vAlign w:val="center"/>
          </w:tcPr>
          <w:p w:rsidR="007C37F0" w:rsidRDefault="00BF0EB0">
            <w:pPr>
              <w:keepNext/>
              <w:keepLines/>
              <w:spacing w:after="0" w:line="240" w:lineRule="auto"/>
              <w:jc w:val="right"/>
            </w:pPr>
            <w:r>
              <w:rPr>
                <w:sz w:val="18"/>
              </w:rPr>
              <w:t>13.177.546,10</w:t>
            </w:r>
          </w:p>
        </w:tc>
        <w:tc>
          <w:tcPr>
            <w:tcW w:w="700" w:type="dxa"/>
            <w:tcMar>
              <w:top w:w="0" w:type="dxa"/>
              <w:bottom w:w="0" w:type="dxa"/>
            </w:tcMar>
            <w:vAlign w:val="center"/>
          </w:tcPr>
          <w:p w:rsidR="007C37F0" w:rsidRDefault="00BF0EB0">
            <w:pPr>
              <w:keepNext/>
              <w:keepLines/>
              <w:spacing w:after="0" w:line="240" w:lineRule="auto"/>
              <w:jc w:val="right"/>
            </w:pPr>
            <w:r>
              <w:rPr>
                <w:sz w:val="18"/>
              </w:rPr>
              <w:t>5288,0</w:t>
            </w:r>
          </w:p>
        </w:tc>
      </w:tr>
    </w:tbl>
    <w:p w:rsidR="007C37F0" w:rsidRDefault="007C37F0">
      <w:pPr>
        <w:spacing w:after="0"/>
      </w:pPr>
    </w:p>
    <w:p w:rsidR="007C37F0" w:rsidRDefault="00BF0EB0">
      <w:r>
        <w:t>U odnosu na stanje 01.01.2025. godine, evidentirano povećanje za 12.928.050,43 eura ili za 5.187,90%.</w:t>
      </w:r>
    </w:p>
    <w:p w:rsidR="007C37F0" w:rsidRDefault="007C37F0"/>
    <w:p w:rsidR="007C37F0" w:rsidRDefault="00BF0EB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051</w:t>
            </w:r>
          </w:p>
        </w:tc>
        <w:tc>
          <w:tcPr>
            <w:tcW w:w="3180" w:type="dxa"/>
            <w:tcMar>
              <w:top w:w="0" w:type="dxa"/>
              <w:bottom w:w="0" w:type="dxa"/>
            </w:tcMar>
            <w:vAlign w:val="center"/>
          </w:tcPr>
          <w:p w:rsidR="007C37F0" w:rsidRDefault="00BF0EB0">
            <w:pPr>
              <w:keepNext/>
              <w:keepLines/>
              <w:spacing w:after="0" w:line="240" w:lineRule="auto"/>
            </w:pPr>
            <w:r>
              <w:rPr>
                <w:sz w:val="18"/>
              </w:rPr>
              <w:t>Građevinski objekti u pripremi</w:t>
            </w:r>
          </w:p>
        </w:tc>
        <w:tc>
          <w:tcPr>
            <w:tcW w:w="700" w:type="dxa"/>
            <w:tcMar>
              <w:top w:w="0" w:type="dxa"/>
              <w:bottom w:w="0" w:type="dxa"/>
            </w:tcMar>
            <w:vAlign w:val="center"/>
          </w:tcPr>
          <w:p w:rsidR="007C37F0" w:rsidRDefault="00BF0EB0">
            <w:pPr>
              <w:keepNext/>
              <w:keepLines/>
              <w:spacing w:after="0" w:line="240" w:lineRule="auto"/>
            </w:pPr>
            <w:r>
              <w:rPr>
                <w:sz w:val="18"/>
              </w:rPr>
              <w:t>051</w:t>
            </w:r>
          </w:p>
        </w:tc>
        <w:tc>
          <w:tcPr>
            <w:tcW w:w="1860" w:type="dxa"/>
            <w:tcMar>
              <w:top w:w="0" w:type="dxa"/>
              <w:bottom w:w="0" w:type="dxa"/>
            </w:tcMar>
            <w:vAlign w:val="center"/>
          </w:tcPr>
          <w:p w:rsidR="007C37F0" w:rsidRDefault="00BF0EB0">
            <w:pPr>
              <w:keepNext/>
              <w:keepLines/>
              <w:spacing w:after="0" w:line="240" w:lineRule="auto"/>
              <w:jc w:val="right"/>
            </w:pPr>
            <w:r>
              <w:rPr>
                <w:sz w:val="18"/>
              </w:rPr>
              <w:t>237.211,54</w:t>
            </w:r>
          </w:p>
        </w:tc>
        <w:tc>
          <w:tcPr>
            <w:tcW w:w="1860" w:type="dxa"/>
            <w:tcMar>
              <w:top w:w="0" w:type="dxa"/>
              <w:bottom w:w="0" w:type="dxa"/>
            </w:tcMar>
            <w:vAlign w:val="center"/>
          </w:tcPr>
          <w:p w:rsidR="007C37F0" w:rsidRDefault="00BF0EB0">
            <w:pPr>
              <w:keepNext/>
              <w:keepLines/>
              <w:spacing w:after="0" w:line="240" w:lineRule="auto"/>
              <w:jc w:val="right"/>
            </w:pPr>
            <w:r>
              <w:rPr>
                <w:sz w:val="18"/>
              </w:rPr>
              <w:t>13.164.739,74</w:t>
            </w:r>
          </w:p>
        </w:tc>
        <w:tc>
          <w:tcPr>
            <w:tcW w:w="700" w:type="dxa"/>
            <w:tcMar>
              <w:top w:w="0" w:type="dxa"/>
              <w:bottom w:w="0" w:type="dxa"/>
            </w:tcMar>
            <w:vAlign w:val="center"/>
          </w:tcPr>
          <w:p w:rsidR="007C37F0" w:rsidRDefault="00BF0EB0">
            <w:pPr>
              <w:keepNext/>
              <w:keepLines/>
              <w:spacing w:after="0" w:line="240" w:lineRule="auto"/>
              <w:jc w:val="right"/>
            </w:pPr>
            <w:r>
              <w:rPr>
                <w:sz w:val="18"/>
              </w:rPr>
              <w:t>5549,8</w:t>
            </w:r>
          </w:p>
        </w:tc>
      </w:tr>
    </w:tbl>
    <w:p w:rsidR="007C37F0" w:rsidRDefault="007C37F0">
      <w:pPr>
        <w:spacing w:after="0"/>
      </w:pPr>
    </w:p>
    <w:p w:rsidR="007C37F0" w:rsidRDefault="00BF0EB0" w:rsidP="00FD1901">
      <w:pPr>
        <w:jc w:val="both"/>
      </w:pPr>
      <w:r>
        <w:t>Iznose 13.164.739,74 eura te bilježe povećanje od 5.449,80 eura, koje se odnosi na objekt Minerva zbog provođenja projekta „Unapređenje kvalitete smještaja i sadržaja hotela Minerva“, u okviru kojeg su u tijeku građevinsko-obrtnički i instalaterski radovi. Istodobno je rekonstrukcija krovišta i unutrašnjosti bazena 4 prenesena iz pripreme u upotrebu u iznosu od 76.678,75 eura – radovi završeni.</w:t>
      </w:r>
    </w:p>
    <w:p w:rsidR="007C37F0" w:rsidRDefault="007C37F0"/>
    <w:p w:rsidR="007C37F0" w:rsidRDefault="00BF0EB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052</w:t>
            </w:r>
          </w:p>
        </w:tc>
        <w:tc>
          <w:tcPr>
            <w:tcW w:w="3180" w:type="dxa"/>
            <w:tcMar>
              <w:top w:w="0" w:type="dxa"/>
              <w:bottom w:w="0" w:type="dxa"/>
            </w:tcMar>
            <w:vAlign w:val="center"/>
          </w:tcPr>
          <w:p w:rsidR="007C37F0" w:rsidRDefault="00BF0EB0">
            <w:pPr>
              <w:keepNext/>
              <w:keepLines/>
              <w:spacing w:after="0" w:line="240" w:lineRule="auto"/>
            </w:pPr>
            <w:r>
              <w:rPr>
                <w:sz w:val="18"/>
              </w:rPr>
              <w:t>Postrojenja i oprema u pripremi</w:t>
            </w:r>
          </w:p>
        </w:tc>
        <w:tc>
          <w:tcPr>
            <w:tcW w:w="700" w:type="dxa"/>
            <w:tcMar>
              <w:top w:w="0" w:type="dxa"/>
              <w:bottom w:w="0" w:type="dxa"/>
            </w:tcMar>
            <w:vAlign w:val="center"/>
          </w:tcPr>
          <w:p w:rsidR="007C37F0" w:rsidRDefault="00BF0EB0">
            <w:pPr>
              <w:keepNext/>
              <w:keepLines/>
              <w:spacing w:after="0" w:line="240" w:lineRule="auto"/>
            </w:pPr>
            <w:r>
              <w:rPr>
                <w:sz w:val="18"/>
              </w:rPr>
              <w:t>052</w:t>
            </w:r>
          </w:p>
        </w:tc>
        <w:tc>
          <w:tcPr>
            <w:tcW w:w="1860" w:type="dxa"/>
            <w:tcMar>
              <w:top w:w="0" w:type="dxa"/>
              <w:bottom w:w="0" w:type="dxa"/>
            </w:tcMar>
            <w:vAlign w:val="center"/>
          </w:tcPr>
          <w:p w:rsidR="007C37F0" w:rsidRDefault="00BF0EB0">
            <w:pPr>
              <w:keepNext/>
              <w:keepLines/>
              <w:spacing w:after="0" w:line="240" w:lineRule="auto"/>
              <w:jc w:val="right"/>
            </w:pPr>
            <w:r>
              <w:rPr>
                <w:sz w:val="18"/>
              </w:rPr>
              <w:t>11.984,13</w:t>
            </w:r>
          </w:p>
        </w:tc>
        <w:tc>
          <w:tcPr>
            <w:tcW w:w="1860" w:type="dxa"/>
            <w:tcMar>
              <w:top w:w="0" w:type="dxa"/>
              <w:bottom w:w="0" w:type="dxa"/>
            </w:tcMar>
            <w:vAlign w:val="center"/>
          </w:tcPr>
          <w:p w:rsidR="007C37F0" w:rsidRDefault="00BF0EB0">
            <w:pPr>
              <w:keepNext/>
              <w:keepLines/>
              <w:spacing w:after="0" w:line="240" w:lineRule="auto"/>
              <w:jc w:val="right"/>
            </w:pPr>
            <w:r>
              <w:rPr>
                <w:sz w:val="18"/>
              </w:rPr>
              <w:t>12.806,36</w:t>
            </w:r>
          </w:p>
        </w:tc>
        <w:tc>
          <w:tcPr>
            <w:tcW w:w="700" w:type="dxa"/>
            <w:tcMar>
              <w:top w:w="0" w:type="dxa"/>
              <w:bottom w:w="0" w:type="dxa"/>
            </w:tcMar>
            <w:vAlign w:val="center"/>
          </w:tcPr>
          <w:p w:rsidR="007C37F0" w:rsidRDefault="00BF0EB0">
            <w:pPr>
              <w:keepNext/>
              <w:keepLines/>
              <w:spacing w:after="0" w:line="240" w:lineRule="auto"/>
              <w:jc w:val="right"/>
            </w:pPr>
            <w:r>
              <w:rPr>
                <w:sz w:val="18"/>
              </w:rPr>
              <w:t>106,9</w:t>
            </w:r>
          </w:p>
        </w:tc>
      </w:tr>
    </w:tbl>
    <w:p w:rsidR="007C37F0" w:rsidRDefault="007C37F0">
      <w:pPr>
        <w:spacing w:after="0"/>
      </w:pPr>
    </w:p>
    <w:p w:rsidR="007C37F0" w:rsidRDefault="00BF0EB0">
      <w:r>
        <w:t>U odnosu na stanje 01.01.2025. godine evidentirano povećanje za 6,90 % ili za 822,23 eura. Povećanje se odnosi na preseljenje na upotrebu.</w:t>
      </w:r>
    </w:p>
    <w:p w:rsidR="007C37F0" w:rsidRDefault="007C37F0"/>
    <w:p w:rsidR="007C37F0" w:rsidRDefault="00BF0EB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06</w:t>
            </w:r>
          </w:p>
        </w:tc>
        <w:tc>
          <w:tcPr>
            <w:tcW w:w="3180" w:type="dxa"/>
            <w:tcMar>
              <w:top w:w="0" w:type="dxa"/>
              <w:bottom w:w="0" w:type="dxa"/>
            </w:tcMar>
            <w:vAlign w:val="center"/>
          </w:tcPr>
          <w:p w:rsidR="007C37F0" w:rsidRDefault="00BF0EB0">
            <w:pPr>
              <w:keepNext/>
              <w:keepLines/>
              <w:spacing w:after="0" w:line="240" w:lineRule="auto"/>
            </w:pPr>
            <w:r>
              <w:rPr>
                <w:sz w:val="18"/>
              </w:rPr>
              <w:t>Proizvedena kratkotrajna imovina (šifre 061 do 065)</w:t>
            </w:r>
          </w:p>
        </w:tc>
        <w:tc>
          <w:tcPr>
            <w:tcW w:w="700" w:type="dxa"/>
            <w:tcMar>
              <w:top w:w="0" w:type="dxa"/>
              <w:bottom w:w="0" w:type="dxa"/>
            </w:tcMar>
            <w:vAlign w:val="center"/>
          </w:tcPr>
          <w:p w:rsidR="007C37F0" w:rsidRDefault="00BF0EB0">
            <w:pPr>
              <w:keepNext/>
              <w:keepLines/>
              <w:spacing w:after="0" w:line="240" w:lineRule="auto"/>
            </w:pPr>
            <w:r>
              <w:rPr>
                <w:sz w:val="18"/>
              </w:rPr>
              <w:t>06</w:t>
            </w:r>
          </w:p>
        </w:tc>
        <w:tc>
          <w:tcPr>
            <w:tcW w:w="1860" w:type="dxa"/>
            <w:tcMar>
              <w:top w:w="0" w:type="dxa"/>
              <w:bottom w:w="0" w:type="dxa"/>
            </w:tcMar>
            <w:vAlign w:val="center"/>
          </w:tcPr>
          <w:p w:rsidR="007C37F0" w:rsidRDefault="00BF0EB0">
            <w:pPr>
              <w:keepNext/>
              <w:keepLines/>
              <w:spacing w:after="0" w:line="240" w:lineRule="auto"/>
              <w:jc w:val="right"/>
            </w:pPr>
            <w:r>
              <w:rPr>
                <w:sz w:val="18"/>
              </w:rPr>
              <w:t>171.047,66</w:t>
            </w:r>
          </w:p>
        </w:tc>
        <w:tc>
          <w:tcPr>
            <w:tcW w:w="1860" w:type="dxa"/>
            <w:tcMar>
              <w:top w:w="0" w:type="dxa"/>
              <w:bottom w:w="0" w:type="dxa"/>
            </w:tcMar>
            <w:vAlign w:val="center"/>
          </w:tcPr>
          <w:p w:rsidR="007C37F0" w:rsidRDefault="00BF0EB0">
            <w:pPr>
              <w:keepNext/>
              <w:keepLines/>
              <w:spacing w:after="0" w:line="240" w:lineRule="auto"/>
              <w:jc w:val="right"/>
            </w:pPr>
            <w:r>
              <w:rPr>
                <w:sz w:val="18"/>
              </w:rPr>
              <w:t>168.823,55</w:t>
            </w:r>
          </w:p>
        </w:tc>
        <w:tc>
          <w:tcPr>
            <w:tcW w:w="700" w:type="dxa"/>
            <w:tcMar>
              <w:top w:w="0" w:type="dxa"/>
              <w:bottom w:w="0" w:type="dxa"/>
            </w:tcMar>
            <w:vAlign w:val="center"/>
          </w:tcPr>
          <w:p w:rsidR="007C37F0" w:rsidRDefault="00BF0EB0">
            <w:pPr>
              <w:keepNext/>
              <w:keepLines/>
              <w:spacing w:after="0" w:line="240" w:lineRule="auto"/>
              <w:jc w:val="right"/>
            </w:pPr>
            <w:r>
              <w:rPr>
                <w:sz w:val="18"/>
              </w:rPr>
              <w:t>98,7</w:t>
            </w:r>
          </w:p>
        </w:tc>
      </w:tr>
    </w:tbl>
    <w:p w:rsidR="007C37F0" w:rsidRDefault="007C37F0">
      <w:pPr>
        <w:spacing w:after="0"/>
      </w:pPr>
    </w:p>
    <w:p w:rsidR="007C37F0" w:rsidRDefault="00BF0EB0" w:rsidP="00FD1901">
      <w:pPr>
        <w:jc w:val="both"/>
      </w:pPr>
      <w:r>
        <w:t xml:space="preserve">Bilježi se smanjenje od 1,30 %, odnosno za 2.224,11 eura. Smanjenje je evidentirano na zalihama za obavljanje djelatnosti, i to na zalihama živežnih namirnica (meso, mlijeko, kruh, lijekovi) u iznosu od 50,40 %, dok je na zalihama roba za daljnju prodaju zabilježeno povećanje od 40,80 %. Povećanje zaliha roba za daljnju prodaju posljedica je stvaranja većih zaliha uoči </w:t>
      </w:r>
      <w:r>
        <w:lastRenderedPageBreak/>
        <w:t>blagdana, zbog otežane opskrbe krajem godine, kako bi se osigurao nesmetan rad početkom poslovne 2025. godine. Za živežne namirnice dostave se obavljaju svakodnevno, dok je za robu za daljnju prodaju bilo potrebno osigurati veće zalihe. Također, na zalihama lijekova i potrošnog medicinskog materijala evidentirano je preseljenje iz skupine 061 u skupinu 065, sukladno uputama iz novog Pravilnika. Preseljenje je izvršeno po početnom stanju, zbog čega je došlo do značajnog smanjenja u skupini 061.</w:t>
      </w:r>
    </w:p>
    <w:p w:rsidR="007C37F0" w:rsidRDefault="007C37F0"/>
    <w:p w:rsidR="007C37F0" w:rsidRDefault="00BF0EB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11</w:t>
            </w:r>
          </w:p>
        </w:tc>
        <w:tc>
          <w:tcPr>
            <w:tcW w:w="3180" w:type="dxa"/>
            <w:tcMar>
              <w:top w:w="0" w:type="dxa"/>
              <w:bottom w:w="0" w:type="dxa"/>
            </w:tcMar>
            <w:vAlign w:val="center"/>
          </w:tcPr>
          <w:p w:rsidR="007C37F0" w:rsidRDefault="00BF0EB0">
            <w:pPr>
              <w:keepNext/>
              <w:keepLines/>
              <w:spacing w:after="0" w:line="240" w:lineRule="auto"/>
            </w:pPr>
            <w:r>
              <w:rPr>
                <w:sz w:val="18"/>
              </w:rPr>
              <w:t>Novac u banci i blagajni (šifre 111+112 do 114)</w:t>
            </w:r>
          </w:p>
        </w:tc>
        <w:tc>
          <w:tcPr>
            <w:tcW w:w="700" w:type="dxa"/>
            <w:tcMar>
              <w:top w:w="0" w:type="dxa"/>
              <w:bottom w:w="0" w:type="dxa"/>
            </w:tcMar>
            <w:vAlign w:val="center"/>
          </w:tcPr>
          <w:p w:rsidR="007C37F0" w:rsidRDefault="00BF0EB0">
            <w:pPr>
              <w:keepNext/>
              <w:keepLines/>
              <w:spacing w:after="0" w:line="240" w:lineRule="auto"/>
            </w:pPr>
            <w:r>
              <w:rPr>
                <w:sz w:val="18"/>
              </w:rPr>
              <w:t>11</w:t>
            </w:r>
          </w:p>
        </w:tc>
        <w:tc>
          <w:tcPr>
            <w:tcW w:w="1860" w:type="dxa"/>
            <w:tcMar>
              <w:top w:w="0" w:type="dxa"/>
              <w:bottom w:w="0" w:type="dxa"/>
            </w:tcMar>
            <w:vAlign w:val="center"/>
          </w:tcPr>
          <w:p w:rsidR="007C37F0" w:rsidRDefault="00BF0EB0">
            <w:pPr>
              <w:keepNext/>
              <w:keepLines/>
              <w:spacing w:after="0" w:line="240" w:lineRule="auto"/>
              <w:jc w:val="right"/>
            </w:pPr>
            <w:r>
              <w:rPr>
                <w:sz w:val="18"/>
              </w:rPr>
              <w:t>39.588,50</w:t>
            </w:r>
          </w:p>
        </w:tc>
        <w:tc>
          <w:tcPr>
            <w:tcW w:w="1860" w:type="dxa"/>
            <w:tcMar>
              <w:top w:w="0" w:type="dxa"/>
              <w:bottom w:w="0" w:type="dxa"/>
            </w:tcMar>
            <w:vAlign w:val="center"/>
          </w:tcPr>
          <w:p w:rsidR="007C37F0" w:rsidRDefault="00BF0EB0">
            <w:pPr>
              <w:keepNext/>
              <w:keepLines/>
              <w:spacing w:after="0" w:line="240" w:lineRule="auto"/>
              <w:jc w:val="right"/>
            </w:pPr>
            <w:r>
              <w:rPr>
                <w:sz w:val="18"/>
              </w:rPr>
              <w:t>19.042,56</w:t>
            </w:r>
          </w:p>
        </w:tc>
        <w:tc>
          <w:tcPr>
            <w:tcW w:w="700" w:type="dxa"/>
            <w:tcMar>
              <w:top w:w="0" w:type="dxa"/>
              <w:bottom w:w="0" w:type="dxa"/>
            </w:tcMar>
            <w:vAlign w:val="center"/>
          </w:tcPr>
          <w:p w:rsidR="007C37F0" w:rsidRDefault="00BF0EB0">
            <w:pPr>
              <w:keepNext/>
              <w:keepLines/>
              <w:spacing w:after="0" w:line="240" w:lineRule="auto"/>
              <w:jc w:val="right"/>
            </w:pPr>
            <w:r>
              <w:rPr>
                <w:sz w:val="18"/>
              </w:rPr>
              <w:t>48,1</w:t>
            </w:r>
          </w:p>
        </w:tc>
      </w:tr>
    </w:tbl>
    <w:p w:rsidR="007C37F0" w:rsidRDefault="007C37F0">
      <w:pPr>
        <w:spacing w:after="0"/>
      </w:pPr>
    </w:p>
    <w:p w:rsidR="007C37F0" w:rsidRDefault="00BF0EB0" w:rsidP="00FD1901">
      <w:pPr>
        <w:jc w:val="both"/>
      </w:pPr>
      <w:r>
        <w:t>Na kraju godine bilježi smanjenje za 51,90% ili za 20.545,94 eura. Stanje novca na računu poslovne banke iznosi 14.913,51 eura, manje je za 52,67% u odnosu na stanje 01.01.2025. godine.</w:t>
      </w:r>
    </w:p>
    <w:p w:rsidR="007C37F0" w:rsidRDefault="00BF0EB0" w:rsidP="00FD1901">
      <w:pPr>
        <w:jc w:val="both"/>
      </w:pPr>
      <w:r>
        <w:t xml:space="preserve">Stanje na prijelaznom računu iznosi 1.224,05 eura, bilježi smanjenje za 71,41%, a odnosi se na novčane </w:t>
      </w:r>
      <w:proofErr w:type="spellStart"/>
      <w:r>
        <w:t>pologe</w:t>
      </w:r>
      <w:proofErr w:type="spellEnd"/>
      <w:r>
        <w:t xml:space="preserve"> položene u dnevno/noćni trezor na dan 31.12.2025. godine, a koji su na poslovnom računu vidljivi prvi radni dan poslovne 2026. godine. Stanje blagajne iznosi 2.905,00 eura, bilježi smanjenje za 23,66%, a odnosi se na blagajničke maksimume za prodajna mjesta. Zbog zatvorenog objekta Minerva manja su ukupna novčana sredstva u banci i blagajni.</w:t>
      </w:r>
    </w:p>
    <w:p w:rsidR="007C37F0" w:rsidRDefault="007C37F0"/>
    <w:p w:rsidR="007C37F0" w:rsidRDefault="00BF0EB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123</w:t>
            </w:r>
          </w:p>
        </w:tc>
        <w:tc>
          <w:tcPr>
            <w:tcW w:w="3180" w:type="dxa"/>
            <w:tcMar>
              <w:top w:w="0" w:type="dxa"/>
              <w:bottom w:w="0" w:type="dxa"/>
            </w:tcMar>
            <w:vAlign w:val="center"/>
          </w:tcPr>
          <w:p w:rsidR="007C37F0" w:rsidRDefault="00BF0EB0">
            <w:pPr>
              <w:keepNext/>
              <w:keepLines/>
              <w:spacing w:after="0" w:line="240" w:lineRule="auto"/>
            </w:pPr>
            <w:r>
              <w:rPr>
                <w:sz w:val="18"/>
              </w:rPr>
              <w:t>Potraživanja od zaposlenih</w:t>
            </w:r>
          </w:p>
        </w:tc>
        <w:tc>
          <w:tcPr>
            <w:tcW w:w="700" w:type="dxa"/>
            <w:tcMar>
              <w:top w:w="0" w:type="dxa"/>
              <w:bottom w:w="0" w:type="dxa"/>
            </w:tcMar>
            <w:vAlign w:val="center"/>
          </w:tcPr>
          <w:p w:rsidR="007C37F0" w:rsidRDefault="00BF0EB0">
            <w:pPr>
              <w:keepNext/>
              <w:keepLines/>
              <w:spacing w:after="0" w:line="240" w:lineRule="auto"/>
            </w:pPr>
            <w:r>
              <w:rPr>
                <w:sz w:val="18"/>
              </w:rPr>
              <w:t>123</w:t>
            </w:r>
          </w:p>
        </w:tc>
        <w:tc>
          <w:tcPr>
            <w:tcW w:w="1860" w:type="dxa"/>
            <w:tcMar>
              <w:top w:w="0" w:type="dxa"/>
              <w:bottom w:w="0" w:type="dxa"/>
            </w:tcMar>
            <w:vAlign w:val="center"/>
          </w:tcPr>
          <w:p w:rsidR="007C37F0" w:rsidRDefault="00BF0EB0">
            <w:pPr>
              <w:keepNext/>
              <w:keepLines/>
              <w:spacing w:after="0" w:line="240" w:lineRule="auto"/>
              <w:jc w:val="right"/>
            </w:pPr>
            <w:r>
              <w:rPr>
                <w:sz w:val="18"/>
              </w:rPr>
              <w:t>6.219,54</w:t>
            </w:r>
          </w:p>
        </w:tc>
        <w:tc>
          <w:tcPr>
            <w:tcW w:w="1860" w:type="dxa"/>
            <w:tcMar>
              <w:top w:w="0" w:type="dxa"/>
              <w:bottom w:w="0" w:type="dxa"/>
            </w:tcMar>
            <w:vAlign w:val="center"/>
          </w:tcPr>
          <w:p w:rsidR="007C37F0" w:rsidRDefault="00BF0EB0">
            <w:pPr>
              <w:keepNext/>
              <w:keepLines/>
              <w:spacing w:after="0" w:line="240" w:lineRule="auto"/>
              <w:jc w:val="right"/>
            </w:pPr>
            <w:r>
              <w:rPr>
                <w:sz w:val="18"/>
              </w:rPr>
              <w:t>4.985,99</w:t>
            </w:r>
          </w:p>
        </w:tc>
        <w:tc>
          <w:tcPr>
            <w:tcW w:w="700" w:type="dxa"/>
            <w:tcMar>
              <w:top w:w="0" w:type="dxa"/>
              <w:bottom w:w="0" w:type="dxa"/>
            </w:tcMar>
            <w:vAlign w:val="center"/>
          </w:tcPr>
          <w:p w:rsidR="007C37F0" w:rsidRDefault="00BF0EB0">
            <w:pPr>
              <w:keepNext/>
              <w:keepLines/>
              <w:spacing w:after="0" w:line="240" w:lineRule="auto"/>
              <w:jc w:val="right"/>
            </w:pPr>
            <w:r>
              <w:rPr>
                <w:sz w:val="18"/>
              </w:rPr>
              <w:t>80,2</w:t>
            </w:r>
          </w:p>
        </w:tc>
      </w:tr>
    </w:tbl>
    <w:p w:rsidR="007C37F0" w:rsidRDefault="007C37F0">
      <w:pPr>
        <w:spacing w:after="0"/>
      </w:pPr>
    </w:p>
    <w:p w:rsidR="007C37F0" w:rsidRDefault="00BF0EB0" w:rsidP="00FD1901">
      <w:pPr>
        <w:jc w:val="both"/>
      </w:pPr>
      <w:r>
        <w:t>Bilježe se smanjenje od 19,80 %, što je rezultat smanjenih kupovina zaposlenih na odgodu. Prethodnih godina zaposlenici su obavljali kupovine u trgovini Minerva i ugostiteljskim objektima, dok je u poslovnoj godini objekt Minerva bio zatvoren, što je dovelo do smanjenja kupovina na odgodu. U poslovnoj godini potraživanja od zaposlenih odnose se na blokove za topli obrok i kupovinu robe u trgovini Terme.</w:t>
      </w:r>
    </w:p>
    <w:p w:rsidR="007C37F0" w:rsidRDefault="007C37F0"/>
    <w:p w:rsidR="007C37F0" w:rsidRDefault="00BF0EB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124</w:t>
            </w:r>
          </w:p>
        </w:tc>
        <w:tc>
          <w:tcPr>
            <w:tcW w:w="3180" w:type="dxa"/>
            <w:tcMar>
              <w:top w:w="0" w:type="dxa"/>
              <w:bottom w:w="0" w:type="dxa"/>
            </w:tcMar>
            <w:vAlign w:val="center"/>
          </w:tcPr>
          <w:p w:rsidR="007C37F0" w:rsidRDefault="00BF0EB0">
            <w:pPr>
              <w:keepNext/>
              <w:keepLines/>
              <w:spacing w:after="0" w:line="240" w:lineRule="auto"/>
            </w:pPr>
            <w:r>
              <w:rPr>
                <w:sz w:val="18"/>
              </w:rPr>
              <w:t>Potraživanja za više plaćene poreze i doprinose</w:t>
            </w:r>
          </w:p>
        </w:tc>
        <w:tc>
          <w:tcPr>
            <w:tcW w:w="700" w:type="dxa"/>
            <w:tcMar>
              <w:top w:w="0" w:type="dxa"/>
              <w:bottom w:w="0" w:type="dxa"/>
            </w:tcMar>
            <w:vAlign w:val="center"/>
          </w:tcPr>
          <w:p w:rsidR="007C37F0" w:rsidRDefault="00BF0EB0">
            <w:pPr>
              <w:keepNext/>
              <w:keepLines/>
              <w:spacing w:after="0" w:line="240" w:lineRule="auto"/>
            </w:pPr>
            <w:r>
              <w:rPr>
                <w:sz w:val="18"/>
              </w:rPr>
              <w:t>124</w:t>
            </w:r>
          </w:p>
        </w:tc>
        <w:tc>
          <w:tcPr>
            <w:tcW w:w="1860" w:type="dxa"/>
            <w:tcMar>
              <w:top w:w="0" w:type="dxa"/>
              <w:bottom w:w="0" w:type="dxa"/>
            </w:tcMar>
            <w:vAlign w:val="center"/>
          </w:tcPr>
          <w:p w:rsidR="007C37F0" w:rsidRDefault="00BF0EB0">
            <w:pPr>
              <w:keepNext/>
              <w:keepLines/>
              <w:spacing w:after="0" w:line="240" w:lineRule="auto"/>
              <w:jc w:val="right"/>
            </w:pPr>
            <w:r>
              <w:rPr>
                <w:sz w:val="18"/>
              </w:rPr>
              <w:t>2.747,49</w:t>
            </w:r>
          </w:p>
        </w:tc>
        <w:tc>
          <w:tcPr>
            <w:tcW w:w="1860" w:type="dxa"/>
            <w:tcMar>
              <w:top w:w="0" w:type="dxa"/>
              <w:bottom w:w="0" w:type="dxa"/>
            </w:tcMar>
            <w:vAlign w:val="center"/>
          </w:tcPr>
          <w:p w:rsidR="007C37F0" w:rsidRDefault="00BF0EB0">
            <w:pPr>
              <w:keepNext/>
              <w:keepLines/>
              <w:spacing w:after="0" w:line="240" w:lineRule="auto"/>
              <w:jc w:val="right"/>
            </w:pPr>
            <w:r>
              <w:rPr>
                <w:sz w:val="18"/>
              </w:rPr>
              <w:t>3.614,14</w:t>
            </w:r>
          </w:p>
        </w:tc>
        <w:tc>
          <w:tcPr>
            <w:tcW w:w="700" w:type="dxa"/>
            <w:tcMar>
              <w:top w:w="0" w:type="dxa"/>
              <w:bottom w:w="0" w:type="dxa"/>
            </w:tcMar>
            <w:vAlign w:val="center"/>
          </w:tcPr>
          <w:p w:rsidR="007C37F0" w:rsidRDefault="00BF0EB0">
            <w:pPr>
              <w:keepNext/>
              <w:keepLines/>
              <w:spacing w:after="0" w:line="240" w:lineRule="auto"/>
              <w:jc w:val="right"/>
            </w:pPr>
            <w:r>
              <w:rPr>
                <w:sz w:val="18"/>
              </w:rPr>
              <w:t>131,5</w:t>
            </w:r>
          </w:p>
        </w:tc>
      </w:tr>
    </w:tbl>
    <w:p w:rsidR="007C37F0" w:rsidRDefault="007C37F0">
      <w:pPr>
        <w:spacing w:after="0"/>
      </w:pPr>
    </w:p>
    <w:p w:rsidR="007C37F0" w:rsidRDefault="00BF0EB0" w:rsidP="00FD1901">
      <w:pPr>
        <w:jc w:val="both"/>
      </w:pPr>
      <w:r>
        <w:lastRenderedPageBreak/>
        <w:t>Na dan 31.12.2025. godine iznose 3.614,14 eura, što je u odnosu na početno stanje veće za 31,50%, a vezano je na obvezu provođenja korekcije poreza i prireza prilikom isplate plaće za mjesec studeni te na potraživanja za pretporez koji još nije priznat temeljem ulaznih računa po naplaćenim naknadama.</w:t>
      </w:r>
    </w:p>
    <w:p w:rsidR="007C37F0" w:rsidRDefault="007C37F0"/>
    <w:p w:rsidR="007C37F0" w:rsidRDefault="00BF0EB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129</w:t>
            </w:r>
          </w:p>
        </w:tc>
        <w:tc>
          <w:tcPr>
            <w:tcW w:w="3180" w:type="dxa"/>
            <w:tcMar>
              <w:top w:w="0" w:type="dxa"/>
              <w:bottom w:w="0" w:type="dxa"/>
            </w:tcMar>
            <w:vAlign w:val="center"/>
          </w:tcPr>
          <w:p w:rsidR="007C37F0" w:rsidRDefault="00BF0EB0">
            <w:pPr>
              <w:keepNext/>
              <w:keepLines/>
              <w:spacing w:after="0" w:line="240" w:lineRule="auto"/>
            </w:pPr>
            <w:r>
              <w:rPr>
                <w:sz w:val="18"/>
              </w:rPr>
              <w:t>Ostala potraživanja</w:t>
            </w:r>
          </w:p>
        </w:tc>
        <w:tc>
          <w:tcPr>
            <w:tcW w:w="700" w:type="dxa"/>
            <w:tcMar>
              <w:top w:w="0" w:type="dxa"/>
              <w:bottom w:w="0" w:type="dxa"/>
            </w:tcMar>
            <w:vAlign w:val="center"/>
          </w:tcPr>
          <w:p w:rsidR="007C37F0" w:rsidRDefault="00BF0EB0">
            <w:pPr>
              <w:keepNext/>
              <w:keepLines/>
              <w:spacing w:after="0" w:line="240" w:lineRule="auto"/>
            </w:pPr>
            <w:r>
              <w:rPr>
                <w:sz w:val="18"/>
              </w:rPr>
              <w:t>129</w:t>
            </w:r>
          </w:p>
        </w:tc>
        <w:tc>
          <w:tcPr>
            <w:tcW w:w="1860" w:type="dxa"/>
            <w:tcMar>
              <w:top w:w="0" w:type="dxa"/>
              <w:bottom w:w="0" w:type="dxa"/>
            </w:tcMar>
            <w:vAlign w:val="center"/>
          </w:tcPr>
          <w:p w:rsidR="007C37F0" w:rsidRDefault="00BF0EB0">
            <w:pPr>
              <w:keepNext/>
              <w:keepLines/>
              <w:spacing w:after="0" w:line="240" w:lineRule="auto"/>
              <w:jc w:val="right"/>
            </w:pPr>
            <w:r>
              <w:rPr>
                <w:sz w:val="18"/>
              </w:rPr>
              <w:t>71.198,95</w:t>
            </w:r>
          </w:p>
        </w:tc>
        <w:tc>
          <w:tcPr>
            <w:tcW w:w="1860" w:type="dxa"/>
            <w:tcMar>
              <w:top w:w="0" w:type="dxa"/>
              <w:bottom w:w="0" w:type="dxa"/>
            </w:tcMar>
            <w:vAlign w:val="center"/>
          </w:tcPr>
          <w:p w:rsidR="007C37F0" w:rsidRDefault="00BF0EB0">
            <w:pPr>
              <w:keepNext/>
              <w:keepLines/>
              <w:spacing w:after="0" w:line="240" w:lineRule="auto"/>
              <w:jc w:val="right"/>
            </w:pPr>
            <w:r>
              <w:rPr>
                <w:sz w:val="18"/>
              </w:rPr>
              <w:t>56.404,60</w:t>
            </w:r>
          </w:p>
        </w:tc>
        <w:tc>
          <w:tcPr>
            <w:tcW w:w="700" w:type="dxa"/>
            <w:tcMar>
              <w:top w:w="0" w:type="dxa"/>
              <w:bottom w:w="0" w:type="dxa"/>
            </w:tcMar>
            <w:vAlign w:val="center"/>
          </w:tcPr>
          <w:p w:rsidR="007C37F0" w:rsidRDefault="00BF0EB0">
            <w:pPr>
              <w:keepNext/>
              <w:keepLines/>
              <w:spacing w:after="0" w:line="240" w:lineRule="auto"/>
              <w:jc w:val="right"/>
            </w:pPr>
            <w:r>
              <w:rPr>
                <w:sz w:val="18"/>
              </w:rPr>
              <w:t>79,2</w:t>
            </w:r>
          </w:p>
        </w:tc>
      </w:tr>
    </w:tbl>
    <w:p w:rsidR="007C37F0" w:rsidRDefault="007C37F0">
      <w:pPr>
        <w:spacing w:after="0"/>
      </w:pPr>
    </w:p>
    <w:p w:rsidR="007C37F0" w:rsidRDefault="00BF0EB0">
      <w:r>
        <w:t>Bilježe smanjenje za 20,80% ili za 14.794,35 eura. Smanjenje je rezultat manjih potraživanja za plaćene predujmove (stručna osposobljavanja i kotizacije za službena putovanja) te manjih potraživanja od kartičnih kuća. </w:t>
      </w:r>
    </w:p>
    <w:p w:rsidR="007C37F0" w:rsidRDefault="007C37F0"/>
    <w:p w:rsidR="007C37F0" w:rsidRDefault="00BF0EB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163</w:t>
            </w:r>
          </w:p>
        </w:tc>
        <w:tc>
          <w:tcPr>
            <w:tcW w:w="3180" w:type="dxa"/>
            <w:tcMar>
              <w:top w:w="0" w:type="dxa"/>
              <w:bottom w:w="0" w:type="dxa"/>
            </w:tcMar>
            <w:vAlign w:val="center"/>
          </w:tcPr>
          <w:p w:rsidR="007C37F0" w:rsidRDefault="00BF0EB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rsidR="007C37F0" w:rsidRDefault="00BF0EB0">
            <w:pPr>
              <w:keepNext/>
              <w:keepLines/>
              <w:spacing w:after="0" w:line="240" w:lineRule="auto"/>
            </w:pPr>
            <w:r>
              <w:rPr>
                <w:sz w:val="18"/>
              </w:rPr>
              <w:t>163</w:t>
            </w:r>
          </w:p>
        </w:tc>
        <w:tc>
          <w:tcPr>
            <w:tcW w:w="1860" w:type="dxa"/>
            <w:tcMar>
              <w:top w:w="0" w:type="dxa"/>
              <w:bottom w:w="0" w:type="dxa"/>
            </w:tcMar>
            <w:vAlign w:val="center"/>
          </w:tcPr>
          <w:p w:rsidR="007C37F0" w:rsidRDefault="00BF0EB0">
            <w:pPr>
              <w:keepNext/>
              <w:keepLines/>
              <w:spacing w:after="0" w:line="240" w:lineRule="auto"/>
              <w:jc w:val="right"/>
            </w:pPr>
            <w:r>
              <w:rPr>
                <w:sz w:val="18"/>
              </w:rPr>
              <w:t>557,97</w:t>
            </w:r>
          </w:p>
        </w:tc>
        <w:tc>
          <w:tcPr>
            <w:tcW w:w="1860" w:type="dxa"/>
            <w:tcMar>
              <w:top w:w="0" w:type="dxa"/>
              <w:bottom w:w="0" w:type="dxa"/>
            </w:tcMar>
            <w:vAlign w:val="center"/>
          </w:tcPr>
          <w:p w:rsidR="007C37F0" w:rsidRDefault="00BF0EB0">
            <w:pPr>
              <w:keepNext/>
              <w:keepLines/>
              <w:spacing w:after="0" w:line="240" w:lineRule="auto"/>
              <w:jc w:val="right"/>
            </w:pPr>
            <w:r>
              <w:rPr>
                <w:sz w:val="18"/>
              </w:rPr>
              <w:t>2.987.782,60</w:t>
            </w:r>
          </w:p>
        </w:tc>
        <w:tc>
          <w:tcPr>
            <w:tcW w:w="700" w:type="dxa"/>
            <w:tcMar>
              <w:top w:w="0" w:type="dxa"/>
              <w:bottom w:w="0" w:type="dxa"/>
            </w:tcMar>
            <w:vAlign w:val="center"/>
          </w:tcPr>
          <w:p w:rsidR="007C37F0" w:rsidRDefault="00BF0EB0">
            <w:pPr>
              <w:keepNext/>
              <w:keepLines/>
              <w:spacing w:after="0" w:line="240" w:lineRule="auto"/>
              <w:jc w:val="right"/>
            </w:pPr>
            <w:r>
              <w:rPr>
                <w:sz w:val="18"/>
              </w:rPr>
              <w:t>&gt;&gt;100</w:t>
            </w:r>
          </w:p>
        </w:tc>
      </w:tr>
    </w:tbl>
    <w:p w:rsidR="007C37F0" w:rsidRDefault="007C37F0">
      <w:pPr>
        <w:spacing w:after="0"/>
      </w:pPr>
    </w:p>
    <w:p w:rsidR="007C37F0" w:rsidRDefault="00BF0EB0" w:rsidP="00FD1901">
      <w:pPr>
        <w:jc w:val="both"/>
      </w:pPr>
      <w:r>
        <w:t>Iznose 2.987.782,60 eura, a odnose se na potraživanje iz Državnog proračuna za dežurstvo djelatnice bolnice koja je upućena na specijalizaciju u KBC Zagreb i tamo je imala rad u dežurstvu u iznosu 2.275,73 eura, na potraživanja od HZZO-a za pripravnike iznos od 22.869,83 eura, istih potraživanja prethodne godine nije bilo budući su se pripravnici financirali iz Hrvatskog zavoda za zapošljavanje i fondova EU i za isto smo primili predujam, te na potraživanja iz EU fondova za radove na projektu Unapređenje kvalitete smještaja i sadržaja hotela Minerva iznos od 2.962.637,04 eura.</w:t>
      </w:r>
    </w:p>
    <w:p w:rsidR="007C37F0" w:rsidRDefault="007C37F0"/>
    <w:p w:rsidR="007C37F0" w:rsidRDefault="00BF0EB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164</w:t>
            </w:r>
          </w:p>
        </w:tc>
        <w:tc>
          <w:tcPr>
            <w:tcW w:w="3180" w:type="dxa"/>
            <w:tcMar>
              <w:top w:w="0" w:type="dxa"/>
              <w:bottom w:w="0" w:type="dxa"/>
            </w:tcMar>
            <w:vAlign w:val="center"/>
          </w:tcPr>
          <w:p w:rsidR="007C37F0" w:rsidRDefault="00BF0EB0">
            <w:pPr>
              <w:keepNext/>
              <w:keepLines/>
              <w:spacing w:after="0" w:line="240" w:lineRule="auto"/>
            </w:pPr>
            <w:r>
              <w:rPr>
                <w:sz w:val="18"/>
              </w:rPr>
              <w:t>Potraživanja za prihode od imovine</w:t>
            </w:r>
          </w:p>
        </w:tc>
        <w:tc>
          <w:tcPr>
            <w:tcW w:w="700" w:type="dxa"/>
            <w:tcMar>
              <w:top w:w="0" w:type="dxa"/>
              <w:bottom w:w="0" w:type="dxa"/>
            </w:tcMar>
            <w:vAlign w:val="center"/>
          </w:tcPr>
          <w:p w:rsidR="007C37F0" w:rsidRDefault="00BF0EB0">
            <w:pPr>
              <w:keepNext/>
              <w:keepLines/>
              <w:spacing w:after="0" w:line="240" w:lineRule="auto"/>
            </w:pPr>
            <w:r>
              <w:rPr>
                <w:sz w:val="18"/>
              </w:rPr>
              <w:t>164</w:t>
            </w:r>
          </w:p>
        </w:tc>
        <w:tc>
          <w:tcPr>
            <w:tcW w:w="1860" w:type="dxa"/>
            <w:tcMar>
              <w:top w:w="0" w:type="dxa"/>
              <w:bottom w:w="0" w:type="dxa"/>
            </w:tcMar>
            <w:vAlign w:val="center"/>
          </w:tcPr>
          <w:p w:rsidR="007C37F0" w:rsidRDefault="00BF0EB0">
            <w:pPr>
              <w:keepNext/>
              <w:keepLines/>
              <w:spacing w:after="0" w:line="240" w:lineRule="auto"/>
              <w:jc w:val="right"/>
            </w:pPr>
            <w:r>
              <w:rPr>
                <w:sz w:val="18"/>
              </w:rPr>
              <w:t>262,90</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700" w:type="dxa"/>
            <w:tcMar>
              <w:top w:w="0" w:type="dxa"/>
              <w:bottom w:w="0" w:type="dxa"/>
            </w:tcMar>
            <w:vAlign w:val="center"/>
          </w:tcPr>
          <w:p w:rsidR="007C37F0" w:rsidRDefault="00BF0EB0">
            <w:pPr>
              <w:keepNext/>
              <w:keepLines/>
              <w:spacing w:after="0" w:line="240" w:lineRule="auto"/>
              <w:jc w:val="right"/>
            </w:pPr>
            <w:r>
              <w:rPr>
                <w:sz w:val="18"/>
              </w:rPr>
              <w:t>0</w:t>
            </w:r>
          </w:p>
        </w:tc>
      </w:tr>
    </w:tbl>
    <w:p w:rsidR="007C37F0" w:rsidRDefault="007C37F0">
      <w:pPr>
        <w:spacing w:after="0"/>
      </w:pPr>
    </w:p>
    <w:p w:rsidR="007C37F0" w:rsidRDefault="00BF0EB0">
      <w:r>
        <w:t>Stanje na dan 01.01.2025. godine odnosi se na potraživanja za dividende, na kraju godine potraživanja nema.</w:t>
      </w:r>
    </w:p>
    <w:p w:rsidR="007C37F0" w:rsidRDefault="007C37F0"/>
    <w:p w:rsidR="007C37F0" w:rsidRDefault="00BF0EB0">
      <w:pPr>
        <w:keepNext/>
        <w:spacing w:line="240" w:lineRule="auto"/>
        <w:jc w:val="center"/>
      </w:pPr>
      <w:r>
        <w:rPr>
          <w:sz w:val="28"/>
        </w:rPr>
        <w:lastRenderedPageBreak/>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165</w:t>
            </w:r>
          </w:p>
        </w:tc>
        <w:tc>
          <w:tcPr>
            <w:tcW w:w="3180" w:type="dxa"/>
            <w:tcMar>
              <w:top w:w="0" w:type="dxa"/>
              <w:bottom w:w="0" w:type="dxa"/>
            </w:tcMar>
            <w:vAlign w:val="center"/>
          </w:tcPr>
          <w:p w:rsidR="007C37F0" w:rsidRDefault="00BF0EB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7C37F0" w:rsidRDefault="00BF0EB0">
            <w:pPr>
              <w:keepNext/>
              <w:keepLines/>
              <w:spacing w:after="0" w:line="240" w:lineRule="auto"/>
            </w:pPr>
            <w:r>
              <w:rPr>
                <w:sz w:val="18"/>
              </w:rPr>
              <w:t>165</w:t>
            </w:r>
          </w:p>
        </w:tc>
        <w:tc>
          <w:tcPr>
            <w:tcW w:w="1860" w:type="dxa"/>
            <w:tcMar>
              <w:top w:w="0" w:type="dxa"/>
              <w:bottom w:w="0" w:type="dxa"/>
            </w:tcMar>
            <w:vAlign w:val="center"/>
          </w:tcPr>
          <w:p w:rsidR="007C37F0" w:rsidRDefault="00BF0EB0">
            <w:pPr>
              <w:keepNext/>
              <w:keepLines/>
              <w:spacing w:after="0" w:line="240" w:lineRule="auto"/>
              <w:jc w:val="right"/>
            </w:pPr>
            <w:r>
              <w:rPr>
                <w:sz w:val="18"/>
              </w:rPr>
              <w:t>358.575,85</w:t>
            </w:r>
          </w:p>
        </w:tc>
        <w:tc>
          <w:tcPr>
            <w:tcW w:w="1860" w:type="dxa"/>
            <w:tcMar>
              <w:top w:w="0" w:type="dxa"/>
              <w:bottom w:w="0" w:type="dxa"/>
            </w:tcMar>
            <w:vAlign w:val="center"/>
          </w:tcPr>
          <w:p w:rsidR="007C37F0" w:rsidRDefault="00BF0EB0">
            <w:pPr>
              <w:keepNext/>
              <w:keepLines/>
              <w:spacing w:after="0" w:line="240" w:lineRule="auto"/>
              <w:jc w:val="right"/>
            </w:pPr>
            <w:r>
              <w:rPr>
                <w:sz w:val="18"/>
              </w:rPr>
              <w:t>675.815,82</w:t>
            </w:r>
          </w:p>
        </w:tc>
        <w:tc>
          <w:tcPr>
            <w:tcW w:w="700" w:type="dxa"/>
            <w:tcMar>
              <w:top w:w="0" w:type="dxa"/>
              <w:bottom w:w="0" w:type="dxa"/>
            </w:tcMar>
            <w:vAlign w:val="center"/>
          </w:tcPr>
          <w:p w:rsidR="007C37F0" w:rsidRDefault="00BF0EB0">
            <w:pPr>
              <w:keepNext/>
              <w:keepLines/>
              <w:spacing w:after="0" w:line="240" w:lineRule="auto"/>
              <w:jc w:val="right"/>
            </w:pPr>
            <w:r>
              <w:rPr>
                <w:sz w:val="18"/>
              </w:rPr>
              <w:t>188,5</w:t>
            </w:r>
          </w:p>
        </w:tc>
      </w:tr>
    </w:tbl>
    <w:p w:rsidR="007C37F0" w:rsidRDefault="007C37F0">
      <w:pPr>
        <w:spacing w:after="0"/>
      </w:pPr>
    </w:p>
    <w:p w:rsidR="007C37F0" w:rsidRDefault="00BF0EB0" w:rsidP="00FD1901">
      <w:pPr>
        <w:jc w:val="both"/>
      </w:pPr>
      <w:r>
        <w:t>Iznose 675.815,82 eura, bilježe povećanje u odnosu na stanje 01.01.2025. godine za 88,50% ili za 317.239,97 eura - potraživanja za dopunsko osiguranje su u rastu u odnosu na stanje početkom godine. Evidentirano je potraživanje od osiguravajućeg društva za naknadu štete u iznosu 447,00 eura, potraživanja od privatnih osiguravatelja za participaciju u iznosu 49.830,14 eura te potraživanje od HZZO-a za dopunsko osiguranje u iznosu 625.538,68 eura. </w:t>
      </w:r>
    </w:p>
    <w:p w:rsidR="007C37F0" w:rsidRDefault="007C37F0"/>
    <w:p w:rsidR="007C37F0" w:rsidRDefault="00BF0EB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166</w:t>
            </w:r>
          </w:p>
        </w:tc>
        <w:tc>
          <w:tcPr>
            <w:tcW w:w="3180" w:type="dxa"/>
            <w:tcMar>
              <w:top w:w="0" w:type="dxa"/>
              <w:bottom w:w="0" w:type="dxa"/>
            </w:tcMar>
            <w:vAlign w:val="center"/>
          </w:tcPr>
          <w:p w:rsidR="007C37F0" w:rsidRDefault="00BF0EB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7C37F0" w:rsidRDefault="00BF0EB0">
            <w:pPr>
              <w:keepNext/>
              <w:keepLines/>
              <w:spacing w:after="0" w:line="240" w:lineRule="auto"/>
            </w:pPr>
            <w:r>
              <w:rPr>
                <w:sz w:val="18"/>
              </w:rPr>
              <w:t>166</w:t>
            </w:r>
          </w:p>
        </w:tc>
        <w:tc>
          <w:tcPr>
            <w:tcW w:w="1860" w:type="dxa"/>
            <w:tcMar>
              <w:top w:w="0" w:type="dxa"/>
              <w:bottom w:w="0" w:type="dxa"/>
            </w:tcMar>
            <w:vAlign w:val="center"/>
          </w:tcPr>
          <w:p w:rsidR="007C37F0" w:rsidRDefault="00BF0EB0">
            <w:pPr>
              <w:keepNext/>
              <w:keepLines/>
              <w:spacing w:after="0" w:line="240" w:lineRule="auto"/>
              <w:jc w:val="right"/>
            </w:pPr>
            <w:r>
              <w:rPr>
                <w:sz w:val="18"/>
              </w:rPr>
              <w:t>819.103,82</w:t>
            </w:r>
          </w:p>
        </w:tc>
        <w:tc>
          <w:tcPr>
            <w:tcW w:w="1860" w:type="dxa"/>
            <w:tcMar>
              <w:top w:w="0" w:type="dxa"/>
              <w:bottom w:w="0" w:type="dxa"/>
            </w:tcMar>
            <w:vAlign w:val="center"/>
          </w:tcPr>
          <w:p w:rsidR="007C37F0" w:rsidRDefault="00BF0EB0">
            <w:pPr>
              <w:keepNext/>
              <w:keepLines/>
              <w:spacing w:after="0" w:line="240" w:lineRule="auto"/>
              <w:jc w:val="right"/>
            </w:pPr>
            <w:r>
              <w:rPr>
                <w:sz w:val="18"/>
              </w:rPr>
              <w:t>875.477,18</w:t>
            </w:r>
          </w:p>
        </w:tc>
        <w:tc>
          <w:tcPr>
            <w:tcW w:w="700" w:type="dxa"/>
            <w:tcMar>
              <w:top w:w="0" w:type="dxa"/>
              <w:bottom w:w="0" w:type="dxa"/>
            </w:tcMar>
            <w:vAlign w:val="center"/>
          </w:tcPr>
          <w:p w:rsidR="007C37F0" w:rsidRDefault="00BF0EB0">
            <w:pPr>
              <w:keepNext/>
              <w:keepLines/>
              <w:spacing w:after="0" w:line="240" w:lineRule="auto"/>
              <w:jc w:val="right"/>
            </w:pPr>
            <w:r>
              <w:rPr>
                <w:sz w:val="18"/>
              </w:rPr>
              <w:t>106,9</w:t>
            </w:r>
          </w:p>
        </w:tc>
      </w:tr>
    </w:tbl>
    <w:p w:rsidR="007C37F0" w:rsidRDefault="007C37F0">
      <w:pPr>
        <w:spacing w:after="0"/>
      </w:pPr>
    </w:p>
    <w:p w:rsidR="007C37F0" w:rsidRDefault="00BF0EB0">
      <w:r>
        <w:t>Potraživanja za prihode bolnice povećani su za 6,90 %, odnosno za 56.373,36 eura u odnosu na početno stanje. Evidentirano je veće potraživanje za pružene usluge poduzećima te veće potraživanje od kupaca u sporu.</w:t>
      </w:r>
    </w:p>
    <w:p w:rsidR="007C37F0" w:rsidRDefault="007C37F0"/>
    <w:p w:rsidR="007C37F0" w:rsidRDefault="00BF0EB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167</w:t>
            </w:r>
          </w:p>
        </w:tc>
        <w:tc>
          <w:tcPr>
            <w:tcW w:w="3180" w:type="dxa"/>
            <w:tcMar>
              <w:top w:w="0" w:type="dxa"/>
              <w:bottom w:w="0" w:type="dxa"/>
            </w:tcMar>
            <w:vAlign w:val="center"/>
          </w:tcPr>
          <w:p w:rsidR="007C37F0" w:rsidRDefault="00BF0EB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7C37F0" w:rsidRDefault="00BF0EB0">
            <w:pPr>
              <w:keepNext/>
              <w:keepLines/>
              <w:spacing w:after="0" w:line="240" w:lineRule="auto"/>
            </w:pPr>
            <w:r>
              <w:rPr>
                <w:sz w:val="18"/>
              </w:rPr>
              <w:t>167</w:t>
            </w:r>
          </w:p>
        </w:tc>
        <w:tc>
          <w:tcPr>
            <w:tcW w:w="1860" w:type="dxa"/>
            <w:tcMar>
              <w:top w:w="0" w:type="dxa"/>
              <w:bottom w:w="0" w:type="dxa"/>
            </w:tcMar>
            <w:vAlign w:val="center"/>
          </w:tcPr>
          <w:p w:rsidR="007C37F0" w:rsidRDefault="00BF0EB0">
            <w:pPr>
              <w:keepNext/>
              <w:keepLines/>
              <w:spacing w:after="0" w:line="240" w:lineRule="auto"/>
              <w:jc w:val="right"/>
            </w:pPr>
            <w:r>
              <w:rPr>
                <w:sz w:val="18"/>
              </w:rPr>
              <w:t>313.502,75</w:t>
            </w:r>
          </w:p>
        </w:tc>
        <w:tc>
          <w:tcPr>
            <w:tcW w:w="1860" w:type="dxa"/>
            <w:tcMar>
              <w:top w:w="0" w:type="dxa"/>
              <w:bottom w:w="0" w:type="dxa"/>
            </w:tcMar>
            <w:vAlign w:val="center"/>
          </w:tcPr>
          <w:p w:rsidR="007C37F0" w:rsidRDefault="00BF0EB0">
            <w:pPr>
              <w:keepNext/>
              <w:keepLines/>
              <w:spacing w:after="0" w:line="240" w:lineRule="auto"/>
              <w:jc w:val="right"/>
            </w:pPr>
            <w:r>
              <w:rPr>
                <w:sz w:val="18"/>
              </w:rPr>
              <w:t>293.967,31</w:t>
            </w:r>
          </w:p>
        </w:tc>
        <w:tc>
          <w:tcPr>
            <w:tcW w:w="700" w:type="dxa"/>
            <w:tcMar>
              <w:top w:w="0" w:type="dxa"/>
              <w:bottom w:w="0" w:type="dxa"/>
            </w:tcMar>
            <w:vAlign w:val="center"/>
          </w:tcPr>
          <w:p w:rsidR="007C37F0" w:rsidRDefault="00BF0EB0">
            <w:pPr>
              <w:keepNext/>
              <w:keepLines/>
              <w:spacing w:after="0" w:line="240" w:lineRule="auto"/>
              <w:jc w:val="right"/>
            </w:pPr>
            <w:r>
              <w:rPr>
                <w:sz w:val="18"/>
              </w:rPr>
              <w:t>93,8</w:t>
            </w:r>
          </w:p>
        </w:tc>
      </w:tr>
    </w:tbl>
    <w:p w:rsidR="007C37F0" w:rsidRDefault="007C37F0">
      <w:pPr>
        <w:spacing w:after="0"/>
      </w:pPr>
    </w:p>
    <w:p w:rsidR="007C37F0" w:rsidRDefault="00BF0EB0">
      <w:r>
        <w:t>Iznose 293.967,31 eura, manja su za 6,20% ili za 19.535,44 eura u odnosu na početno stanje, a odnosi se na potraživanja s osnove osnovnog osiguranja od HZZO. Smanjenje se očituje u potraživanjima od zaštite zdravlja na radu i za inozemne osiguranike.</w:t>
      </w:r>
    </w:p>
    <w:p w:rsidR="007C37F0" w:rsidRDefault="007C37F0"/>
    <w:p w:rsidR="007C37F0" w:rsidRDefault="00BF0EB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169</w:t>
            </w:r>
          </w:p>
        </w:tc>
        <w:tc>
          <w:tcPr>
            <w:tcW w:w="3180" w:type="dxa"/>
            <w:tcMar>
              <w:top w:w="0" w:type="dxa"/>
              <w:bottom w:w="0" w:type="dxa"/>
            </w:tcMar>
            <w:vAlign w:val="center"/>
          </w:tcPr>
          <w:p w:rsidR="007C37F0" w:rsidRDefault="00BF0EB0">
            <w:pPr>
              <w:keepNext/>
              <w:keepLines/>
              <w:spacing w:after="0" w:line="240" w:lineRule="auto"/>
            </w:pPr>
            <w:r>
              <w:rPr>
                <w:sz w:val="18"/>
              </w:rPr>
              <w:t>Ispravak vrijednosti potraživanja</w:t>
            </w:r>
          </w:p>
        </w:tc>
        <w:tc>
          <w:tcPr>
            <w:tcW w:w="700" w:type="dxa"/>
            <w:tcMar>
              <w:top w:w="0" w:type="dxa"/>
              <w:bottom w:w="0" w:type="dxa"/>
            </w:tcMar>
            <w:vAlign w:val="center"/>
          </w:tcPr>
          <w:p w:rsidR="007C37F0" w:rsidRDefault="00BF0EB0">
            <w:pPr>
              <w:keepNext/>
              <w:keepLines/>
              <w:spacing w:after="0" w:line="240" w:lineRule="auto"/>
            </w:pPr>
            <w:r>
              <w:rPr>
                <w:sz w:val="18"/>
              </w:rPr>
              <w:t>169</w:t>
            </w:r>
          </w:p>
        </w:tc>
        <w:tc>
          <w:tcPr>
            <w:tcW w:w="1860" w:type="dxa"/>
            <w:tcMar>
              <w:top w:w="0" w:type="dxa"/>
              <w:bottom w:w="0" w:type="dxa"/>
            </w:tcMar>
            <w:vAlign w:val="center"/>
          </w:tcPr>
          <w:p w:rsidR="007C37F0" w:rsidRDefault="00BF0EB0">
            <w:pPr>
              <w:keepNext/>
              <w:keepLines/>
              <w:spacing w:after="0" w:line="240" w:lineRule="auto"/>
              <w:jc w:val="right"/>
            </w:pPr>
            <w:r>
              <w:rPr>
                <w:sz w:val="18"/>
              </w:rPr>
              <w:t>650.228,66</w:t>
            </w:r>
          </w:p>
        </w:tc>
        <w:tc>
          <w:tcPr>
            <w:tcW w:w="1860" w:type="dxa"/>
            <w:tcMar>
              <w:top w:w="0" w:type="dxa"/>
              <w:bottom w:w="0" w:type="dxa"/>
            </w:tcMar>
            <w:vAlign w:val="center"/>
          </w:tcPr>
          <w:p w:rsidR="007C37F0" w:rsidRDefault="00BF0EB0">
            <w:pPr>
              <w:keepNext/>
              <w:keepLines/>
              <w:spacing w:after="0" w:line="240" w:lineRule="auto"/>
              <w:jc w:val="right"/>
            </w:pPr>
            <w:r>
              <w:rPr>
                <w:sz w:val="18"/>
              </w:rPr>
              <w:t>664.129,48</w:t>
            </w:r>
          </w:p>
        </w:tc>
        <w:tc>
          <w:tcPr>
            <w:tcW w:w="700" w:type="dxa"/>
            <w:tcMar>
              <w:top w:w="0" w:type="dxa"/>
              <w:bottom w:w="0" w:type="dxa"/>
            </w:tcMar>
            <w:vAlign w:val="center"/>
          </w:tcPr>
          <w:p w:rsidR="007C37F0" w:rsidRDefault="00BF0EB0">
            <w:pPr>
              <w:keepNext/>
              <w:keepLines/>
              <w:spacing w:after="0" w:line="240" w:lineRule="auto"/>
              <w:jc w:val="right"/>
            </w:pPr>
            <w:r>
              <w:rPr>
                <w:sz w:val="18"/>
              </w:rPr>
              <w:t>102,1</w:t>
            </w:r>
          </w:p>
        </w:tc>
      </w:tr>
    </w:tbl>
    <w:p w:rsidR="007C37F0" w:rsidRDefault="007C37F0">
      <w:pPr>
        <w:spacing w:after="0"/>
      </w:pPr>
    </w:p>
    <w:p w:rsidR="007C37F0" w:rsidRDefault="00BF0EB0" w:rsidP="00FD1901">
      <w:pPr>
        <w:jc w:val="both"/>
      </w:pPr>
      <w:r>
        <w:lastRenderedPageBreak/>
        <w:t>Evidentirani iznos na kraju godine iznosi 664.129,48 eura, veći je u odnosu na stanje 01.01.2025. godine za 2,10% ili za 13.900,82 eura, a odnosi se ispravak vrijednosti potraživanja (ispravak vrijednosti potraživanja 100%). </w:t>
      </w:r>
    </w:p>
    <w:p w:rsidR="007C37F0" w:rsidRDefault="007C37F0"/>
    <w:p w:rsidR="007C37F0" w:rsidRDefault="00BF0EB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191</w:t>
            </w:r>
          </w:p>
        </w:tc>
        <w:tc>
          <w:tcPr>
            <w:tcW w:w="3180" w:type="dxa"/>
            <w:tcMar>
              <w:top w:w="0" w:type="dxa"/>
              <w:bottom w:w="0" w:type="dxa"/>
            </w:tcMar>
            <w:vAlign w:val="center"/>
          </w:tcPr>
          <w:p w:rsidR="007C37F0" w:rsidRDefault="00BF0EB0">
            <w:pPr>
              <w:keepNext/>
              <w:keepLines/>
              <w:spacing w:after="0" w:line="240" w:lineRule="auto"/>
            </w:pPr>
            <w:r>
              <w:rPr>
                <w:sz w:val="18"/>
              </w:rPr>
              <w:t>Rashodi budućih razdoblja</w:t>
            </w:r>
          </w:p>
        </w:tc>
        <w:tc>
          <w:tcPr>
            <w:tcW w:w="700" w:type="dxa"/>
            <w:tcMar>
              <w:top w:w="0" w:type="dxa"/>
              <w:bottom w:w="0" w:type="dxa"/>
            </w:tcMar>
            <w:vAlign w:val="center"/>
          </w:tcPr>
          <w:p w:rsidR="007C37F0" w:rsidRDefault="00BF0EB0">
            <w:pPr>
              <w:keepNext/>
              <w:keepLines/>
              <w:spacing w:after="0" w:line="240" w:lineRule="auto"/>
            </w:pPr>
            <w:r>
              <w:rPr>
                <w:sz w:val="18"/>
              </w:rPr>
              <w:t>191</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1860" w:type="dxa"/>
            <w:tcMar>
              <w:top w:w="0" w:type="dxa"/>
              <w:bottom w:w="0" w:type="dxa"/>
            </w:tcMar>
            <w:vAlign w:val="center"/>
          </w:tcPr>
          <w:p w:rsidR="007C37F0" w:rsidRDefault="00BF0EB0">
            <w:pPr>
              <w:keepNext/>
              <w:keepLines/>
              <w:spacing w:after="0" w:line="240" w:lineRule="auto"/>
              <w:jc w:val="right"/>
            </w:pPr>
            <w:r>
              <w:rPr>
                <w:sz w:val="18"/>
              </w:rPr>
              <w:t>5.381,26</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FD1901">
      <w:pPr>
        <w:jc w:val="both"/>
      </w:pPr>
      <w:r>
        <w:t>Odnose se na osiguranje skupog medicinskog uređaja, odnosno dodatno jamstvo u slučaju kvara. Ugovoreni su mjesečni anuiteti, preostalo još 5. rata u 2026. godini, plaćanje se vrši mjesečno. </w:t>
      </w:r>
    </w:p>
    <w:p w:rsidR="007C37F0" w:rsidRDefault="007C37F0"/>
    <w:p w:rsidR="007C37F0" w:rsidRDefault="00BF0EB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231</w:t>
            </w:r>
          </w:p>
        </w:tc>
        <w:tc>
          <w:tcPr>
            <w:tcW w:w="3180" w:type="dxa"/>
            <w:tcMar>
              <w:top w:w="0" w:type="dxa"/>
              <w:bottom w:w="0" w:type="dxa"/>
            </w:tcMar>
            <w:vAlign w:val="center"/>
          </w:tcPr>
          <w:p w:rsidR="007C37F0" w:rsidRDefault="00BF0EB0">
            <w:pPr>
              <w:keepNext/>
              <w:keepLines/>
              <w:spacing w:after="0" w:line="240" w:lineRule="auto"/>
            </w:pPr>
            <w:r>
              <w:rPr>
                <w:sz w:val="18"/>
              </w:rPr>
              <w:t>Obveze za zaposlene</w:t>
            </w:r>
          </w:p>
        </w:tc>
        <w:tc>
          <w:tcPr>
            <w:tcW w:w="700" w:type="dxa"/>
            <w:tcMar>
              <w:top w:w="0" w:type="dxa"/>
              <w:bottom w:w="0" w:type="dxa"/>
            </w:tcMar>
            <w:vAlign w:val="center"/>
          </w:tcPr>
          <w:p w:rsidR="007C37F0" w:rsidRDefault="00BF0EB0">
            <w:pPr>
              <w:keepNext/>
              <w:keepLines/>
              <w:spacing w:after="0" w:line="240" w:lineRule="auto"/>
            </w:pPr>
            <w:r>
              <w:rPr>
                <w:sz w:val="18"/>
              </w:rPr>
              <w:t>231</w:t>
            </w:r>
          </w:p>
        </w:tc>
        <w:tc>
          <w:tcPr>
            <w:tcW w:w="1860" w:type="dxa"/>
            <w:tcMar>
              <w:top w:w="0" w:type="dxa"/>
              <w:bottom w:w="0" w:type="dxa"/>
            </w:tcMar>
            <w:vAlign w:val="center"/>
          </w:tcPr>
          <w:p w:rsidR="007C37F0" w:rsidRDefault="00BF0EB0">
            <w:pPr>
              <w:keepNext/>
              <w:keepLines/>
              <w:spacing w:after="0" w:line="240" w:lineRule="auto"/>
              <w:jc w:val="right"/>
            </w:pPr>
            <w:r>
              <w:rPr>
                <w:sz w:val="18"/>
              </w:rPr>
              <w:t>1.526.950,15</w:t>
            </w:r>
          </w:p>
        </w:tc>
        <w:tc>
          <w:tcPr>
            <w:tcW w:w="1860" w:type="dxa"/>
            <w:tcMar>
              <w:top w:w="0" w:type="dxa"/>
              <w:bottom w:w="0" w:type="dxa"/>
            </w:tcMar>
            <w:vAlign w:val="center"/>
          </w:tcPr>
          <w:p w:rsidR="007C37F0" w:rsidRDefault="00BF0EB0">
            <w:pPr>
              <w:keepNext/>
              <w:keepLines/>
              <w:spacing w:after="0" w:line="240" w:lineRule="auto"/>
              <w:jc w:val="right"/>
            </w:pPr>
            <w:r>
              <w:rPr>
                <w:sz w:val="18"/>
              </w:rPr>
              <w:t>1.536.781,76</w:t>
            </w:r>
          </w:p>
        </w:tc>
        <w:tc>
          <w:tcPr>
            <w:tcW w:w="700" w:type="dxa"/>
            <w:tcMar>
              <w:top w:w="0" w:type="dxa"/>
              <w:bottom w:w="0" w:type="dxa"/>
            </w:tcMar>
            <w:vAlign w:val="center"/>
          </w:tcPr>
          <w:p w:rsidR="007C37F0" w:rsidRDefault="00BF0EB0">
            <w:pPr>
              <w:keepNext/>
              <w:keepLines/>
              <w:spacing w:after="0" w:line="240" w:lineRule="auto"/>
              <w:jc w:val="right"/>
            </w:pPr>
            <w:r>
              <w:rPr>
                <w:sz w:val="18"/>
              </w:rPr>
              <w:t>100,6</w:t>
            </w:r>
          </w:p>
        </w:tc>
      </w:tr>
    </w:tbl>
    <w:p w:rsidR="007C37F0" w:rsidRDefault="007C37F0">
      <w:pPr>
        <w:spacing w:after="0"/>
      </w:pPr>
    </w:p>
    <w:p w:rsidR="007C37F0" w:rsidRDefault="00BF0EB0">
      <w:r>
        <w:t>Evidentirani iznos obveza na kraju godine veći je u odnosu na stanje na dan 1. siječnja 2025. godine za 0,60 %, odnosno za 9.831,61 eura. Povećanje se odnosi na obvezu za isplatu plaće zaposlenima za mjesec prosinac, koja dospijeva 15. siječnja 2026. godine. Navedeno povećanje prvenstveno je posljedica rasta koeficijenata za sva radna mjesta, s primjenom od 1. ožujka 2024. godine. Povećanje obveza bilo bi izraženije da je broj zaposlenih ostao na razini prethodne godine, međutim tijekom godine došlo je do smanjenja broja zaposlenih sa 690 na 666, odnosno za 24 zaposlenika.</w:t>
      </w:r>
    </w:p>
    <w:p w:rsidR="007C37F0" w:rsidRDefault="007C37F0"/>
    <w:p w:rsidR="007C37F0" w:rsidRDefault="00BF0EB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232</w:t>
            </w:r>
          </w:p>
        </w:tc>
        <w:tc>
          <w:tcPr>
            <w:tcW w:w="3180" w:type="dxa"/>
            <w:tcMar>
              <w:top w:w="0" w:type="dxa"/>
              <w:bottom w:w="0" w:type="dxa"/>
            </w:tcMar>
            <w:vAlign w:val="center"/>
          </w:tcPr>
          <w:p w:rsidR="007C37F0" w:rsidRDefault="00BF0EB0">
            <w:pPr>
              <w:keepNext/>
              <w:keepLines/>
              <w:spacing w:after="0" w:line="240" w:lineRule="auto"/>
            </w:pPr>
            <w:r>
              <w:rPr>
                <w:sz w:val="18"/>
              </w:rPr>
              <w:t>Obveze za materijalne rashode</w:t>
            </w:r>
          </w:p>
        </w:tc>
        <w:tc>
          <w:tcPr>
            <w:tcW w:w="700" w:type="dxa"/>
            <w:tcMar>
              <w:top w:w="0" w:type="dxa"/>
              <w:bottom w:w="0" w:type="dxa"/>
            </w:tcMar>
            <w:vAlign w:val="center"/>
          </w:tcPr>
          <w:p w:rsidR="007C37F0" w:rsidRDefault="00BF0EB0">
            <w:pPr>
              <w:keepNext/>
              <w:keepLines/>
              <w:spacing w:after="0" w:line="240" w:lineRule="auto"/>
            </w:pPr>
            <w:r>
              <w:rPr>
                <w:sz w:val="18"/>
              </w:rPr>
              <w:t>232</w:t>
            </w:r>
          </w:p>
        </w:tc>
        <w:tc>
          <w:tcPr>
            <w:tcW w:w="1860" w:type="dxa"/>
            <w:tcMar>
              <w:top w:w="0" w:type="dxa"/>
              <w:bottom w:w="0" w:type="dxa"/>
            </w:tcMar>
            <w:vAlign w:val="center"/>
          </w:tcPr>
          <w:p w:rsidR="007C37F0" w:rsidRDefault="00BF0EB0">
            <w:pPr>
              <w:keepNext/>
              <w:keepLines/>
              <w:spacing w:after="0" w:line="240" w:lineRule="auto"/>
              <w:jc w:val="right"/>
            </w:pPr>
            <w:r>
              <w:rPr>
                <w:sz w:val="18"/>
              </w:rPr>
              <w:t>1.426.443,61</w:t>
            </w:r>
          </w:p>
        </w:tc>
        <w:tc>
          <w:tcPr>
            <w:tcW w:w="1860" w:type="dxa"/>
            <w:tcMar>
              <w:top w:w="0" w:type="dxa"/>
              <w:bottom w:w="0" w:type="dxa"/>
            </w:tcMar>
            <w:vAlign w:val="center"/>
          </w:tcPr>
          <w:p w:rsidR="007C37F0" w:rsidRDefault="00BF0EB0">
            <w:pPr>
              <w:keepNext/>
              <w:keepLines/>
              <w:spacing w:after="0" w:line="240" w:lineRule="auto"/>
              <w:jc w:val="right"/>
            </w:pPr>
            <w:r>
              <w:rPr>
                <w:sz w:val="18"/>
              </w:rPr>
              <w:t>1.257.904,96</w:t>
            </w:r>
          </w:p>
        </w:tc>
        <w:tc>
          <w:tcPr>
            <w:tcW w:w="700" w:type="dxa"/>
            <w:tcMar>
              <w:top w:w="0" w:type="dxa"/>
              <w:bottom w:w="0" w:type="dxa"/>
            </w:tcMar>
            <w:vAlign w:val="center"/>
          </w:tcPr>
          <w:p w:rsidR="007C37F0" w:rsidRDefault="00BF0EB0">
            <w:pPr>
              <w:keepNext/>
              <w:keepLines/>
              <w:spacing w:after="0" w:line="240" w:lineRule="auto"/>
              <w:jc w:val="right"/>
            </w:pPr>
            <w:r>
              <w:rPr>
                <w:sz w:val="18"/>
              </w:rPr>
              <w:t>88,2</w:t>
            </w:r>
          </w:p>
        </w:tc>
      </w:tr>
    </w:tbl>
    <w:p w:rsidR="007C37F0" w:rsidRDefault="007C37F0">
      <w:pPr>
        <w:spacing w:after="0"/>
      </w:pPr>
    </w:p>
    <w:p w:rsidR="007C37F0" w:rsidRDefault="00BF0EB0">
      <w:r>
        <w:t>Iznose 1.257.904,96 eura, što predstavlja smanjenje od 11,80% ili 168.538,65 eura u odnosu na stanje 01.01.2025. Najveći dio tih obveza odnosi se na obveze prema dobavljačima lijekova i potrošnog medicinskog materijala, kao i na troškove materijala i energije te nabavu živežnih namirnica.</w:t>
      </w:r>
    </w:p>
    <w:p w:rsidR="007C37F0" w:rsidRDefault="007C37F0"/>
    <w:p w:rsidR="007C37F0" w:rsidRDefault="00BF0EB0">
      <w:pPr>
        <w:keepNext/>
        <w:spacing w:line="240" w:lineRule="auto"/>
        <w:jc w:val="center"/>
      </w:pPr>
      <w:r>
        <w:rPr>
          <w:sz w:val="28"/>
        </w:rPr>
        <w:lastRenderedPageBreak/>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234</w:t>
            </w:r>
          </w:p>
        </w:tc>
        <w:tc>
          <w:tcPr>
            <w:tcW w:w="3180" w:type="dxa"/>
            <w:tcMar>
              <w:top w:w="0" w:type="dxa"/>
              <w:bottom w:w="0" w:type="dxa"/>
            </w:tcMar>
            <w:vAlign w:val="center"/>
          </w:tcPr>
          <w:p w:rsidR="007C37F0" w:rsidRDefault="00BF0EB0">
            <w:pPr>
              <w:keepNext/>
              <w:keepLines/>
              <w:spacing w:after="0" w:line="240" w:lineRule="auto"/>
            </w:pPr>
            <w:r>
              <w:rPr>
                <w:sz w:val="18"/>
              </w:rPr>
              <w:t>Obveze za financijske rashode (šifre 2341 do 2343)</w:t>
            </w:r>
          </w:p>
        </w:tc>
        <w:tc>
          <w:tcPr>
            <w:tcW w:w="700" w:type="dxa"/>
            <w:tcMar>
              <w:top w:w="0" w:type="dxa"/>
              <w:bottom w:w="0" w:type="dxa"/>
            </w:tcMar>
            <w:vAlign w:val="center"/>
          </w:tcPr>
          <w:p w:rsidR="007C37F0" w:rsidRDefault="00BF0EB0">
            <w:pPr>
              <w:keepNext/>
              <w:keepLines/>
              <w:spacing w:after="0" w:line="240" w:lineRule="auto"/>
            </w:pPr>
            <w:r>
              <w:rPr>
                <w:sz w:val="18"/>
              </w:rPr>
              <w:t>234</w:t>
            </w:r>
          </w:p>
        </w:tc>
        <w:tc>
          <w:tcPr>
            <w:tcW w:w="1860" w:type="dxa"/>
            <w:tcMar>
              <w:top w:w="0" w:type="dxa"/>
              <w:bottom w:w="0" w:type="dxa"/>
            </w:tcMar>
            <w:vAlign w:val="center"/>
          </w:tcPr>
          <w:p w:rsidR="007C37F0" w:rsidRDefault="00BF0EB0">
            <w:pPr>
              <w:keepNext/>
              <w:keepLines/>
              <w:spacing w:after="0" w:line="240" w:lineRule="auto"/>
              <w:jc w:val="right"/>
            </w:pPr>
            <w:r>
              <w:rPr>
                <w:sz w:val="18"/>
              </w:rPr>
              <w:t>6.647,20</w:t>
            </w:r>
          </w:p>
        </w:tc>
        <w:tc>
          <w:tcPr>
            <w:tcW w:w="1860" w:type="dxa"/>
            <w:tcMar>
              <w:top w:w="0" w:type="dxa"/>
              <w:bottom w:w="0" w:type="dxa"/>
            </w:tcMar>
            <w:vAlign w:val="center"/>
          </w:tcPr>
          <w:p w:rsidR="007C37F0" w:rsidRDefault="00BF0EB0">
            <w:pPr>
              <w:keepNext/>
              <w:keepLines/>
              <w:spacing w:after="0" w:line="240" w:lineRule="auto"/>
              <w:jc w:val="right"/>
            </w:pPr>
            <w:r>
              <w:rPr>
                <w:sz w:val="18"/>
              </w:rPr>
              <w:t>26.147,80</w:t>
            </w:r>
          </w:p>
        </w:tc>
        <w:tc>
          <w:tcPr>
            <w:tcW w:w="700" w:type="dxa"/>
            <w:tcMar>
              <w:top w:w="0" w:type="dxa"/>
              <w:bottom w:w="0" w:type="dxa"/>
            </w:tcMar>
            <w:vAlign w:val="center"/>
          </w:tcPr>
          <w:p w:rsidR="007C37F0" w:rsidRDefault="00BF0EB0">
            <w:pPr>
              <w:keepNext/>
              <w:keepLines/>
              <w:spacing w:after="0" w:line="240" w:lineRule="auto"/>
              <w:jc w:val="right"/>
            </w:pPr>
            <w:r>
              <w:rPr>
                <w:sz w:val="18"/>
              </w:rPr>
              <w:t>393,4</w:t>
            </w:r>
          </w:p>
        </w:tc>
      </w:tr>
    </w:tbl>
    <w:p w:rsidR="007C37F0" w:rsidRDefault="007C37F0">
      <w:pPr>
        <w:spacing w:after="0"/>
      </w:pPr>
    </w:p>
    <w:p w:rsidR="007C37F0" w:rsidRDefault="00BF0EB0">
      <w:r>
        <w:t xml:space="preserve">U odnosu na stanje 01.01.2025. godine obveze su povećane za 293,40% ili za 19.500,60 eura. Odnosi se na kratkoročni okvirni kredit Cash </w:t>
      </w:r>
      <w:proofErr w:type="spellStart"/>
      <w:r>
        <w:t>pool</w:t>
      </w:r>
      <w:proofErr w:type="spellEnd"/>
    </w:p>
    <w:p w:rsidR="007C37F0" w:rsidRDefault="007C37F0"/>
    <w:p w:rsidR="007C37F0" w:rsidRDefault="00BF0EB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2342</w:t>
            </w:r>
          </w:p>
        </w:tc>
        <w:tc>
          <w:tcPr>
            <w:tcW w:w="3180" w:type="dxa"/>
            <w:tcMar>
              <w:top w:w="0" w:type="dxa"/>
              <w:bottom w:w="0" w:type="dxa"/>
            </w:tcMar>
            <w:vAlign w:val="center"/>
          </w:tcPr>
          <w:p w:rsidR="007C37F0" w:rsidRDefault="00BF0EB0">
            <w:pPr>
              <w:keepNext/>
              <w:keepLines/>
              <w:spacing w:after="0" w:line="240" w:lineRule="auto"/>
            </w:pPr>
            <w:r>
              <w:rPr>
                <w:sz w:val="18"/>
              </w:rPr>
              <w:t>Obveze za kamate na primljene kredite i zajmove</w:t>
            </w:r>
          </w:p>
        </w:tc>
        <w:tc>
          <w:tcPr>
            <w:tcW w:w="700" w:type="dxa"/>
            <w:tcMar>
              <w:top w:w="0" w:type="dxa"/>
              <w:bottom w:w="0" w:type="dxa"/>
            </w:tcMar>
            <w:vAlign w:val="center"/>
          </w:tcPr>
          <w:p w:rsidR="007C37F0" w:rsidRDefault="00BF0EB0">
            <w:pPr>
              <w:keepNext/>
              <w:keepLines/>
              <w:spacing w:after="0" w:line="240" w:lineRule="auto"/>
            </w:pPr>
            <w:r>
              <w:rPr>
                <w:sz w:val="18"/>
              </w:rPr>
              <w:t>2342</w:t>
            </w:r>
          </w:p>
        </w:tc>
        <w:tc>
          <w:tcPr>
            <w:tcW w:w="1860" w:type="dxa"/>
            <w:tcMar>
              <w:top w:w="0" w:type="dxa"/>
              <w:bottom w:w="0" w:type="dxa"/>
            </w:tcMar>
            <w:vAlign w:val="center"/>
          </w:tcPr>
          <w:p w:rsidR="007C37F0" w:rsidRDefault="00BF0EB0">
            <w:pPr>
              <w:keepNext/>
              <w:keepLines/>
              <w:spacing w:after="0" w:line="240" w:lineRule="auto"/>
              <w:jc w:val="right"/>
            </w:pPr>
            <w:r>
              <w:rPr>
                <w:sz w:val="18"/>
              </w:rPr>
              <w:t>432,67</w:t>
            </w:r>
          </w:p>
        </w:tc>
        <w:tc>
          <w:tcPr>
            <w:tcW w:w="1860" w:type="dxa"/>
            <w:tcMar>
              <w:top w:w="0" w:type="dxa"/>
              <w:bottom w:w="0" w:type="dxa"/>
            </w:tcMar>
            <w:vAlign w:val="center"/>
          </w:tcPr>
          <w:p w:rsidR="007C37F0" w:rsidRDefault="00BF0EB0">
            <w:pPr>
              <w:keepNext/>
              <w:keepLines/>
              <w:spacing w:after="0" w:line="240" w:lineRule="auto"/>
              <w:jc w:val="right"/>
            </w:pPr>
            <w:r>
              <w:rPr>
                <w:sz w:val="18"/>
              </w:rPr>
              <w:t>18.055,58</w:t>
            </w:r>
          </w:p>
        </w:tc>
        <w:tc>
          <w:tcPr>
            <w:tcW w:w="700" w:type="dxa"/>
            <w:tcMar>
              <w:top w:w="0" w:type="dxa"/>
              <w:bottom w:w="0" w:type="dxa"/>
            </w:tcMar>
            <w:vAlign w:val="center"/>
          </w:tcPr>
          <w:p w:rsidR="007C37F0" w:rsidRDefault="00BF0EB0">
            <w:pPr>
              <w:keepNext/>
              <w:keepLines/>
              <w:spacing w:after="0" w:line="240" w:lineRule="auto"/>
              <w:jc w:val="right"/>
            </w:pPr>
            <w:r>
              <w:rPr>
                <w:sz w:val="18"/>
              </w:rPr>
              <w:t>4173,1</w:t>
            </w:r>
          </w:p>
        </w:tc>
      </w:tr>
    </w:tbl>
    <w:p w:rsidR="007C37F0" w:rsidRDefault="007C37F0">
      <w:pPr>
        <w:spacing w:after="0"/>
      </w:pPr>
    </w:p>
    <w:p w:rsidR="007C37F0" w:rsidRDefault="00BF0EB0">
      <w:r>
        <w:t xml:space="preserve">Iznose 18.055,58 eura, veći su u odnosu na stanje 01.01.2025. godine za 4.073,10% ili za 17.622,91 eura. Povećanje se odnosi na veće kamate po računu Cash </w:t>
      </w:r>
      <w:proofErr w:type="spellStart"/>
      <w:r>
        <w:t>poola</w:t>
      </w:r>
      <w:proofErr w:type="spellEnd"/>
      <w:r>
        <w:t>, koristimo veći iznos kratkoročnog zaduženja.</w:t>
      </w:r>
    </w:p>
    <w:p w:rsidR="007C37F0" w:rsidRDefault="007C37F0"/>
    <w:p w:rsidR="007C37F0" w:rsidRDefault="00BF0EB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2343</w:t>
            </w:r>
          </w:p>
        </w:tc>
        <w:tc>
          <w:tcPr>
            <w:tcW w:w="3180" w:type="dxa"/>
            <w:tcMar>
              <w:top w:w="0" w:type="dxa"/>
              <w:bottom w:w="0" w:type="dxa"/>
            </w:tcMar>
            <w:vAlign w:val="center"/>
          </w:tcPr>
          <w:p w:rsidR="007C37F0" w:rsidRDefault="00BF0EB0">
            <w:pPr>
              <w:keepNext/>
              <w:keepLines/>
              <w:spacing w:after="0" w:line="240" w:lineRule="auto"/>
            </w:pPr>
            <w:r>
              <w:rPr>
                <w:sz w:val="18"/>
              </w:rPr>
              <w:t>Obveze za ostale financijske rashode</w:t>
            </w:r>
          </w:p>
        </w:tc>
        <w:tc>
          <w:tcPr>
            <w:tcW w:w="700" w:type="dxa"/>
            <w:tcMar>
              <w:top w:w="0" w:type="dxa"/>
              <w:bottom w:w="0" w:type="dxa"/>
            </w:tcMar>
            <w:vAlign w:val="center"/>
          </w:tcPr>
          <w:p w:rsidR="007C37F0" w:rsidRDefault="00BF0EB0">
            <w:pPr>
              <w:keepNext/>
              <w:keepLines/>
              <w:spacing w:after="0" w:line="240" w:lineRule="auto"/>
            </w:pPr>
            <w:r>
              <w:rPr>
                <w:sz w:val="18"/>
              </w:rPr>
              <w:t>2343</w:t>
            </w:r>
          </w:p>
        </w:tc>
        <w:tc>
          <w:tcPr>
            <w:tcW w:w="1860" w:type="dxa"/>
            <w:tcMar>
              <w:top w:w="0" w:type="dxa"/>
              <w:bottom w:w="0" w:type="dxa"/>
            </w:tcMar>
            <w:vAlign w:val="center"/>
          </w:tcPr>
          <w:p w:rsidR="007C37F0" w:rsidRDefault="00BF0EB0">
            <w:pPr>
              <w:keepNext/>
              <w:keepLines/>
              <w:spacing w:after="0" w:line="240" w:lineRule="auto"/>
              <w:jc w:val="right"/>
            </w:pPr>
            <w:r>
              <w:rPr>
                <w:sz w:val="18"/>
              </w:rPr>
              <w:t>6.214,53</w:t>
            </w:r>
          </w:p>
        </w:tc>
        <w:tc>
          <w:tcPr>
            <w:tcW w:w="1860" w:type="dxa"/>
            <w:tcMar>
              <w:top w:w="0" w:type="dxa"/>
              <w:bottom w:w="0" w:type="dxa"/>
            </w:tcMar>
            <w:vAlign w:val="center"/>
          </w:tcPr>
          <w:p w:rsidR="007C37F0" w:rsidRDefault="00BF0EB0">
            <w:pPr>
              <w:keepNext/>
              <w:keepLines/>
              <w:spacing w:after="0" w:line="240" w:lineRule="auto"/>
              <w:jc w:val="right"/>
            </w:pPr>
            <w:r>
              <w:rPr>
                <w:sz w:val="18"/>
              </w:rPr>
              <w:t>8.092,22</w:t>
            </w:r>
          </w:p>
        </w:tc>
        <w:tc>
          <w:tcPr>
            <w:tcW w:w="700" w:type="dxa"/>
            <w:tcMar>
              <w:top w:w="0" w:type="dxa"/>
              <w:bottom w:w="0" w:type="dxa"/>
            </w:tcMar>
            <w:vAlign w:val="center"/>
          </w:tcPr>
          <w:p w:rsidR="007C37F0" w:rsidRDefault="00BF0EB0">
            <w:pPr>
              <w:keepNext/>
              <w:keepLines/>
              <w:spacing w:after="0" w:line="240" w:lineRule="auto"/>
              <w:jc w:val="right"/>
            </w:pPr>
            <w:r>
              <w:rPr>
                <w:sz w:val="18"/>
              </w:rPr>
              <w:t>130,2</w:t>
            </w:r>
          </w:p>
        </w:tc>
      </w:tr>
    </w:tbl>
    <w:p w:rsidR="007C37F0" w:rsidRDefault="007C37F0">
      <w:pPr>
        <w:spacing w:after="0"/>
      </w:pPr>
    </w:p>
    <w:p w:rsidR="007C37F0" w:rsidRDefault="00BF0EB0" w:rsidP="00164714">
      <w:pPr>
        <w:jc w:val="both"/>
      </w:pPr>
      <w:r>
        <w:t>Iznose 8.092,22 eura, veći su u odnosu na stanje 01.01.2025. godine za 30,20% ili za 1.877,69 eura. Povećanje evidentirano na bankarskim uslugama i uslugama platnog prometa te na obvezama za zakašnjela plaćanja.</w:t>
      </w:r>
    </w:p>
    <w:p w:rsidR="007C37F0" w:rsidRDefault="007C37F0"/>
    <w:p w:rsidR="007C37F0" w:rsidRDefault="00BF0EB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239</w:t>
            </w:r>
          </w:p>
        </w:tc>
        <w:tc>
          <w:tcPr>
            <w:tcW w:w="3180" w:type="dxa"/>
            <w:tcMar>
              <w:top w:w="0" w:type="dxa"/>
              <w:bottom w:w="0" w:type="dxa"/>
            </w:tcMar>
            <w:vAlign w:val="center"/>
          </w:tcPr>
          <w:p w:rsidR="007C37F0" w:rsidRDefault="00BF0EB0">
            <w:pPr>
              <w:keepNext/>
              <w:keepLines/>
              <w:spacing w:after="0" w:line="240" w:lineRule="auto"/>
            </w:pPr>
            <w:r>
              <w:rPr>
                <w:sz w:val="18"/>
              </w:rPr>
              <w:t>Ostale tekuće obveze</w:t>
            </w:r>
          </w:p>
        </w:tc>
        <w:tc>
          <w:tcPr>
            <w:tcW w:w="700" w:type="dxa"/>
            <w:tcMar>
              <w:top w:w="0" w:type="dxa"/>
              <w:bottom w:w="0" w:type="dxa"/>
            </w:tcMar>
            <w:vAlign w:val="center"/>
          </w:tcPr>
          <w:p w:rsidR="007C37F0" w:rsidRDefault="00BF0EB0">
            <w:pPr>
              <w:keepNext/>
              <w:keepLines/>
              <w:spacing w:after="0" w:line="240" w:lineRule="auto"/>
            </w:pPr>
            <w:r>
              <w:rPr>
                <w:sz w:val="18"/>
              </w:rPr>
              <w:t>239</w:t>
            </w:r>
          </w:p>
        </w:tc>
        <w:tc>
          <w:tcPr>
            <w:tcW w:w="1860" w:type="dxa"/>
            <w:tcMar>
              <w:top w:w="0" w:type="dxa"/>
              <w:bottom w:w="0" w:type="dxa"/>
            </w:tcMar>
            <w:vAlign w:val="center"/>
          </w:tcPr>
          <w:p w:rsidR="007C37F0" w:rsidRDefault="00BF0EB0">
            <w:pPr>
              <w:keepNext/>
              <w:keepLines/>
              <w:spacing w:after="0" w:line="240" w:lineRule="auto"/>
              <w:jc w:val="right"/>
            </w:pPr>
            <w:r>
              <w:rPr>
                <w:sz w:val="18"/>
              </w:rPr>
              <w:t>68.239,28</w:t>
            </w:r>
          </w:p>
        </w:tc>
        <w:tc>
          <w:tcPr>
            <w:tcW w:w="1860" w:type="dxa"/>
            <w:tcMar>
              <w:top w:w="0" w:type="dxa"/>
              <w:bottom w:w="0" w:type="dxa"/>
            </w:tcMar>
            <w:vAlign w:val="center"/>
          </w:tcPr>
          <w:p w:rsidR="007C37F0" w:rsidRDefault="00BF0EB0">
            <w:pPr>
              <w:keepNext/>
              <w:keepLines/>
              <w:spacing w:after="0" w:line="240" w:lineRule="auto"/>
              <w:jc w:val="right"/>
            </w:pPr>
            <w:r>
              <w:rPr>
                <w:sz w:val="18"/>
              </w:rPr>
              <w:t>722.190,98</w:t>
            </w:r>
          </w:p>
        </w:tc>
        <w:tc>
          <w:tcPr>
            <w:tcW w:w="700" w:type="dxa"/>
            <w:tcMar>
              <w:top w:w="0" w:type="dxa"/>
              <w:bottom w:w="0" w:type="dxa"/>
            </w:tcMar>
            <w:vAlign w:val="center"/>
          </w:tcPr>
          <w:p w:rsidR="007C37F0" w:rsidRDefault="00BF0EB0">
            <w:pPr>
              <w:keepNext/>
              <w:keepLines/>
              <w:spacing w:after="0" w:line="240" w:lineRule="auto"/>
              <w:jc w:val="right"/>
            </w:pPr>
            <w:r>
              <w:rPr>
                <w:sz w:val="18"/>
              </w:rPr>
              <w:t>1058,3</w:t>
            </w:r>
          </w:p>
        </w:tc>
      </w:tr>
    </w:tbl>
    <w:p w:rsidR="007C37F0" w:rsidRDefault="007C37F0">
      <w:pPr>
        <w:spacing w:after="0"/>
      </w:pPr>
    </w:p>
    <w:p w:rsidR="007C37F0" w:rsidRDefault="00BF0EB0" w:rsidP="00164714">
      <w:pPr>
        <w:jc w:val="both"/>
      </w:pPr>
      <w:r>
        <w:t xml:space="preserve">Iznose 722.190,98 eura te bilježe povećanje u odnosu na stanje na dan 1. 1. 2025. godine od 958,30%, odnosno za 653.951,70 eura. Povećanje je evidentirano na obvezi za porez na dodanu vrijednost za 1.945,30%, odnosno za 674.326,82 eura, a odnosi se na obveze temeljem prijenosa porezne obveze po privremenim situacijama za radove na objektu Minerva. Istodobno je </w:t>
      </w:r>
      <w:r>
        <w:lastRenderedPageBreak/>
        <w:t>evidentirano smanjenje obveze za predujmove od HZZ-a za pripravnike medicinske struke od 61,50%, odnosno za 20.214,54 eura.</w:t>
      </w:r>
    </w:p>
    <w:p w:rsidR="007C37F0" w:rsidRDefault="007C37F0"/>
    <w:p w:rsidR="007C37F0" w:rsidRDefault="00BF0EB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24</w:t>
            </w:r>
          </w:p>
        </w:tc>
        <w:tc>
          <w:tcPr>
            <w:tcW w:w="3180" w:type="dxa"/>
            <w:tcMar>
              <w:top w:w="0" w:type="dxa"/>
              <w:bottom w:w="0" w:type="dxa"/>
            </w:tcMar>
            <w:vAlign w:val="center"/>
          </w:tcPr>
          <w:p w:rsidR="007C37F0" w:rsidRDefault="00BF0EB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7C37F0" w:rsidRDefault="00BF0EB0">
            <w:pPr>
              <w:keepNext/>
              <w:keepLines/>
              <w:spacing w:after="0" w:line="240" w:lineRule="auto"/>
            </w:pPr>
            <w:r>
              <w:rPr>
                <w:sz w:val="18"/>
              </w:rPr>
              <w:t>24</w:t>
            </w:r>
          </w:p>
        </w:tc>
        <w:tc>
          <w:tcPr>
            <w:tcW w:w="1860" w:type="dxa"/>
            <w:tcMar>
              <w:top w:w="0" w:type="dxa"/>
              <w:bottom w:w="0" w:type="dxa"/>
            </w:tcMar>
            <w:vAlign w:val="center"/>
          </w:tcPr>
          <w:p w:rsidR="007C37F0" w:rsidRDefault="00BF0EB0">
            <w:pPr>
              <w:keepNext/>
              <w:keepLines/>
              <w:spacing w:after="0" w:line="240" w:lineRule="auto"/>
              <w:jc w:val="right"/>
            </w:pPr>
            <w:r>
              <w:rPr>
                <w:sz w:val="18"/>
              </w:rPr>
              <w:t>256.036,54</w:t>
            </w:r>
          </w:p>
        </w:tc>
        <w:tc>
          <w:tcPr>
            <w:tcW w:w="1860" w:type="dxa"/>
            <w:tcMar>
              <w:top w:w="0" w:type="dxa"/>
              <w:bottom w:w="0" w:type="dxa"/>
            </w:tcMar>
            <w:vAlign w:val="center"/>
          </w:tcPr>
          <w:p w:rsidR="007C37F0" w:rsidRDefault="00BF0EB0">
            <w:pPr>
              <w:keepNext/>
              <w:keepLines/>
              <w:spacing w:after="0" w:line="240" w:lineRule="auto"/>
              <w:jc w:val="right"/>
            </w:pPr>
            <w:r>
              <w:rPr>
                <w:sz w:val="18"/>
              </w:rPr>
              <w:t>3.695.235,41</w:t>
            </w:r>
          </w:p>
        </w:tc>
        <w:tc>
          <w:tcPr>
            <w:tcW w:w="700" w:type="dxa"/>
            <w:tcMar>
              <w:top w:w="0" w:type="dxa"/>
              <w:bottom w:w="0" w:type="dxa"/>
            </w:tcMar>
            <w:vAlign w:val="center"/>
          </w:tcPr>
          <w:p w:rsidR="007C37F0" w:rsidRDefault="00BF0EB0">
            <w:pPr>
              <w:keepNext/>
              <w:keepLines/>
              <w:spacing w:after="0" w:line="240" w:lineRule="auto"/>
              <w:jc w:val="right"/>
            </w:pPr>
            <w:r>
              <w:rPr>
                <w:sz w:val="18"/>
              </w:rPr>
              <w:t>1443,2</w:t>
            </w:r>
          </w:p>
        </w:tc>
      </w:tr>
    </w:tbl>
    <w:p w:rsidR="007C37F0" w:rsidRDefault="007C37F0">
      <w:pPr>
        <w:spacing w:after="0"/>
      </w:pPr>
    </w:p>
    <w:p w:rsidR="007C37F0" w:rsidRDefault="00BF0EB0" w:rsidP="00164714">
      <w:pPr>
        <w:jc w:val="both"/>
      </w:pPr>
      <w:r>
        <w:t>Iznose 3.695.235,41 eura te bilježe povećanje u odnosu na stanje na dan 1. 1. 2025. godine od 1.343,20%, odnosno za 3.439.198,87 eura. Najveći dio povećanja evidentiran je na obvezama za dodatna ulaganja u nefinancijsku imovinu, koje se odnose na obveze prema izvođaču radova na objektu Minerva. Osim navedenog, povećanje obveza zabilježeno je i na obvezama za licence, dok je smanjenje od 86,20% evidentirano na obvezama za ulaganja u računalne programe</w:t>
      </w:r>
      <w:r w:rsidR="00164714">
        <w:t>.</w:t>
      </w:r>
    </w:p>
    <w:p w:rsidR="007C37F0" w:rsidRDefault="007C37F0"/>
    <w:p w:rsidR="007C37F0" w:rsidRDefault="00BF0EB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26</w:t>
            </w:r>
          </w:p>
        </w:tc>
        <w:tc>
          <w:tcPr>
            <w:tcW w:w="3180" w:type="dxa"/>
            <w:tcMar>
              <w:top w:w="0" w:type="dxa"/>
              <w:bottom w:w="0" w:type="dxa"/>
            </w:tcMar>
            <w:vAlign w:val="center"/>
          </w:tcPr>
          <w:p w:rsidR="007C37F0" w:rsidRDefault="00BF0EB0">
            <w:pPr>
              <w:keepNext/>
              <w:keepLines/>
              <w:spacing w:after="0" w:line="240" w:lineRule="auto"/>
            </w:pPr>
            <w:r>
              <w:rPr>
                <w:sz w:val="18"/>
              </w:rPr>
              <w:t>Obveze za kredite i zajmove (šifre 26X1+26X2)</w:t>
            </w:r>
          </w:p>
        </w:tc>
        <w:tc>
          <w:tcPr>
            <w:tcW w:w="700" w:type="dxa"/>
            <w:tcMar>
              <w:top w:w="0" w:type="dxa"/>
              <w:bottom w:w="0" w:type="dxa"/>
            </w:tcMar>
            <w:vAlign w:val="center"/>
          </w:tcPr>
          <w:p w:rsidR="007C37F0" w:rsidRDefault="00BF0EB0">
            <w:pPr>
              <w:keepNext/>
              <w:keepLines/>
              <w:spacing w:after="0" w:line="240" w:lineRule="auto"/>
            </w:pPr>
            <w:r>
              <w:rPr>
                <w:sz w:val="18"/>
              </w:rPr>
              <w:t>26</w:t>
            </w:r>
          </w:p>
        </w:tc>
        <w:tc>
          <w:tcPr>
            <w:tcW w:w="1860" w:type="dxa"/>
            <w:tcMar>
              <w:top w:w="0" w:type="dxa"/>
              <w:bottom w:w="0" w:type="dxa"/>
            </w:tcMar>
            <w:vAlign w:val="center"/>
          </w:tcPr>
          <w:p w:rsidR="007C37F0" w:rsidRDefault="00BF0EB0">
            <w:pPr>
              <w:keepNext/>
              <w:keepLines/>
              <w:spacing w:after="0" w:line="240" w:lineRule="auto"/>
              <w:jc w:val="right"/>
            </w:pPr>
            <w:r>
              <w:rPr>
                <w:sz w:val="18"/>
              </w:rPr>
              <w:t>8.429.340,62</w:t>
            </w:r>
          </w:p>
        </w:tc>
        <w:tc>
          <w:tcPr>
            <w:tcW w:w="1860" w:type="dxa"/>
            <w:tcMar>
              <w:top w:w="0" w:type="dxa"/>
              <w:bottom w:w="0" w:type="dxa"/>
            </w:tcMar>
            <w:vAlign w:val="center"/>
          </w:tcPr>
          <w:p w:rsidR="007C37F0" w:rsidRDefault="00BF0EB0">
            <w:pPr>
              <w:keepNext/>
              <w:keepLines/>
              <w:spacing w:after="0" w:line="240" w:lineRule="auto"/>
              <w:jc w:val="right"/>
            </w:pPr>
            <w:r>
              <w:rPr>
                <w:sz w:val="18"/>
              </w:rPr>
              <w:t>8.066.017,74</w:t>
            </w:r>
          </w:p>
        </w:tc>
        <w:tc>
          <w:tcPr>
            <w:tcW w:w="700" w:type="dxa"/>
            <w:tcMar>
              <w:top w:w="0" w:type="dxa"/>
              <w:bottom w:w="0" w:type="dxa"/>
            </w:tcMar>
            <w:vAlign w:val="center"/>
          </w:tcPr>
          <w:p w:rsidR="007C37F0" w:rsidRDefault="00BF0EB0">
            <w:pPr>
              <w:keepNext/>
              <w:keepLines/>
              <w:spacing w:after="0" w:line="240" w:lineRule="auto"/>
              <w:jc w:val="right"/>
            </w:pPr>
            <w:r>
              <w:rPr>
                <w:sz w:val="18"/>
              </w:rPr>
              <w:t>95,7</w:t>
            </w:r>
          </w:p>
        </w:tc>
      </w:tr>
    </w:tbl>
    <w:p w:rsidR="007C37F0" w:rsidRDefault="007C37F0">
      <w:pPr>
        <w:spacing w:after="0"/>
      </w:pPr>
    </w:p>
    <w:p w:rsidR="007C37F0" w:rsidRDefault="00BF0EB0" w:rsidP="00164714">
      <w:pPr>
        <w:jc w:val="both"/>
      </w:pPr>
      <w:r>
        <w:t xml:space="preserve">Evidentirani iznos na kraju poslovne 2025. godine iznosi 8.066.017,74 eura, manje je za 4,30% ili za 363.322,80 eura, a odnosi se na obveze po ESIF kreditima (4.452.340,06 eura), kreditima poslovne Zagrebačke banke (3.062.829,96 eura) za zatvaranje financijske konstrukcije vezano uz energetsku obnovu objekata Bolnice (objekt Minerva, objekt </w:t>
      </w:r>
      <w:proofErr w:type="spellStart"/>
      <w:r>
        <w:t>Lovrina</w:t>
      </w:r>
      <w:proofErr w:type="spellEnd"/>
      <w:r>
        <w:t xml:space="preserve"> kupelj, Skup zgrada) te korištenje okvirnog kredita u iznosu 550.847,72 eura. U poslovnoj 2025. godini krediti se otplaćuju kroz cijelu godinu, a otplatom se smanjuju ukupne obveze za otplatu zajmova. Sredstva za otplatu kredita refundiraju se dijelom iz vlastitih sredstava, a dijelom iz  decentraliziranih sredstava.</w:t>
      </w:r>
    </w:p>
    <w:p w:rsidR="007C37F0" w:rsidRDefault="007C37F0"/>
    <w:p w:rsidR="007C37F0" w:rsidRDefault="00BF0EB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27</w:t>
            </w:r>
          </w:p>
        </w:tc>
        <w:tc>
          <w:tcPr>
            <w:tcW w:w="3180" w:type="dxa"/>
            <w:tcMar>
              <w:top w:w="0" w:type="dxa"/>
              <w:bottom w:w="0" w:type="dxa"/>
            </w:tcMar>
            <w:vAlign w:val="center"/>
          </w:tcPr>
          <w:p w:rsidR="007C37F0" w:rsidRDefault="00BF0EB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7C37F0" w:rsidRDefault="00BF0EB0">
            <w:pPr>
              <w:keepNext/>
              <w:keepLines/>
              <w:spacing w:after="0" w:line="240" w:lineRule="auto"/>
            </w:pPr>
            <w:r>
              <w:rPr>
                <w:sz w:val="18"/>
              </w:rPr>
              <w:t>27</w:t>
            </w:r>
          </w:p>
        </w:tc>
        <w:tc>
          <w:tcPr>
            <w:tcW w:w="1860" w:type="dxa"/>
            <w:tcMar>
              <w:top w:w="0" w:type="dxa"/>
              <w:bottom w:w="0" w:type="dxa"/>
            </w:tcMar>
            <w:vAlign w:val="center"/>
          </w:tcPr>
          <w:p w:rsidR="007C37F0" w:rsidRDefault="00BF0EB0">
            <w:pPr>
              <w:keepNext/>
              <w:keepLines/>
              <w:spacing w:after="0" w:line="240" w:lineRule="auto"/>
              <w:jc w:val="right"/>
            </w:pPr>
            <w:r>
              <w:rPr>
                <w:sz w:val="18"/>
              </w:rPr>
              <w:t>9.930.972,73</w:t>
            </w:r>
          </w:p>
        </w:tc>
        <w:tc>
          <w:tcPr>
            <w:tcW w:w="1860" w:type="dxa"/>
            <w:tcMar>
              <w:top w:w="0" w:type="dxa"/>
              <w:bottom w:w="0" w:type="dxa"/>
            </w:tcMar>
            <w:vAlign w:val="center"/>
          </w:tcPr>
          <w:p w:rsidR="007C37F0" w:rsidRDefault="00BF0EB0">
            <w:pPr>
              <w:keepNext/>
              <w:keepLines/>
              <w:spacing w:after="0" w:line="240" w:lineRule="auto"/>
              <w:jc w:val="right"/>
            </w:pPr>
            <w:r>
              <w:rPr>
                <w:sz w:val="18"/>
              </w:rPr>
              <w:t>12.413.029,15</w:t>
            </w:r>
          </w:p>
        </w:tc>
        <w:tc>
          <w:tcPr>
            <w:tcW w:w="700" w:type="dxa"/>
            <w:tcMar>
              <w:top w:w="0" w:type="dxa"/>
              <w:bottom w:w="0" w:type="dxa"/>
            </w:tcMar>
            <w:vAlign w:val="center"/>
          </w:tcPr>
          <w:p w:rsidR="007C37F0" w:rsidRDefault="00BF0EB0">
            <w:pPr>
              <w:keepNext/>
              <w:keepLines/>
              <w:spacing w:after="0" w:line="240" w:lineRule="auto"/>
              <w:jc w:val="right"/>
            </w:pPr>
            <w:r>
              <w:rPr>
                <w:sz w:val="18"/>
              </w:rPr>
              <w:t>125,0</w:t>
            </w:r>
          </w:p>
        </w:tc>
      </w:tr>
    </w:tbl>
    <w:p w:rsidR="007C37F0" w:rsidRDefault="007C37F0">
      <w:pPr>
        <w:spacing w:after="0"/>
      </w:pPr>
    </w:p>
    <w:p w:rsidR="007C37F0" w:rsidRDefault="00BF0EB0" w:rsidP="00164714">
      <w:pPr>
        <w:jc w:val="both"/>
      </w:pPr>
      <w:r>
        <w:t xml:space="preserve">Evidentirani iznos na kraju poslovne 2025. godine iznosi 12.413.029,15 eura, veći je za 25,00% ili za 2.482.056,42 eura. Prethodne godine isto je bilo iskazivano unutar skupine 2395, novim Pravilnikom propisana je obveza evidentiranja unutar skupine 27. Obveze za predujmove iznose 12.311.320,93 eura, a sastoji se od obveza prema HZZO-u za manje izvršen rad u iznosu </w:t>
      </w:r>
      <w:r>
        <w:lastRenderedPageBreak/>
        <w:t>12.308.890,56 eura, predujmova za liječenje u iznosu 2.430,37 eura,  obveze za primljene jamčevine (osiguranja za dobro izvršenje ugovora) u iznosu 97.016,08 eura te obveza iz EU fondova za pripravnike medicinske struke u iznosu 4.692,14 eura. Povećanje se očituje najvećim dijelom u obvezi prema HZZO-u za manje izvršen rad.</w:t>
      </w:r>
    </w:p>
    <w:p w:rsidR="007C37F0" w:rsidRDefault="007C37F0"/>
    <w:p w:rsidR="007C37F0" w:rsidRDefault="00BF0EB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29</w:t>
            </w:r>
          </w:p>
        </w:tc>
        <w:tc>
          <w:tcPr>
            <w:tcW w:w="3180" w:type="dxa"/>
            <w:tcMar>
              <w:top w:w="0" w:type="dxa"/>
              <w:bottom w:w="0" w:type="dxa"/>
            </w:tcMar>
            <w:vAlign w:val="center"/>
          </w:tcPr>
          <w:p w:rsidR="007C37F0" w:rsidRDefault="00BF0EB0">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rsidR="007C37F0" w:rsidRDefault="00BF0EB0">
            <w:pPr>
              <w:keepNext/>
              <w:keepLines/>
              <w:spacing w:after="0" w:line="240" w:lineRule="auto"/>
            </w:pPr>
            <w:r>
              <w:rPr>
                <w:sz w:val="18"/>
              </w:rPr>
              <w:t>29</w:t>
            </w:r>
          </w:p>
        </w:tc>
        <w:tc>
          <w:tcPr>
            <w:tcW w:w="1860" w:type="dxa"/>
            <w:tcMar>
              <w:top w:w="0" w:type="dxa"/>
              <w:bottom w:w="0" w:type="dxa"/>
            </w:tcMar>
            <w:vAlign w:val="center"/>
          </w:tcPr>
          <w:p w:rsidR="007C37F0" w:rsidRDefault="00BF0EB0">
            <w:pPr>
              <w:keepNext/>
              <w:keepLines/>
              <w:spacing w:after="0" w:line="240" w:lineRule="auto"/>
              <w:jc w:val="right"/>
            </w:pPr>
            <w:r>
              <w:rPr>
                <w:sz w:val="18"/>
              </w:rPr>
              <w:t>8.125,00</w:t>
            </w:r>
          </w:p>
        </w:tc>
        <w:tc>
          <w:tcPr>
            <w:tcW w:w="1860" w:type="dxa"/>
            <w:tcMar>
              <w:top w:w="0" w:type="dxa"/>
              <w:bottom w:w="0" w:type="dxa"/>
            </w:tcMar>
            <w:vAlign w:val="center"/>
          </w:tcPr>
          <w:p w:rsidR="007C37F0" w:rsidRDefault="00BF0EB0">
            <w:pPr>
              <w:keepNext/>
              <w:keepLines/>
              <w:spacing w:after="0" w:line="240" w:lineRule="auto"/>
              <w:jc w:val="right"/>
            </w:pPr>
            <w:r>
              <w:rPr>
                <w:sz w:val="18"/>
              </w:rPr>
              <w:t>6.267,47</w:t>
            </w:r>
          </w:p>
        </w:tc>
        <w:tc>
          <w:tcPr>
            <w:tcW w:w="700" w:type="dxa"/>
            <w:tcMar>
              <w:top w:w="0" w:type="dxa"/>
              <w:bottom w:w="0" w:type="dxa"/>
            </w:tcMar>
            <w:vAlign w:val="center"/>
          </w:tcPr>
          <w:p w:rsidR="007C37F0" w:rsidRDefault="00BF0EB0">
            <w:pPr>
              <w:keepNext/>
              <w:keepLines/>
              <w:spacing w:after="0" w:line="240" w:lineRule="auto"/>
              <w:jc w:val="right"/>
            </w:pPr>
            <w:r>
              <w:rPr>
                <w:sz w:val="18"/>
              </w:rPr>
              <w:t>77,1</w:t>
            </w:r>
          </w:p>
        </w:tc>
      </w:tr>
    </w:tbl>
    <w:p w:rsidR="007C37F0" w:rsidRDefault="007C37F0">
      <w:pPr>
        <w:spacing w:after="0"/>
      </w:pPr>
    </w:p>
    <w:p w:rsidR="007C37F0" w:rsidRDefault="00BF0EB0">
      <w:r>
        <w:t>Evidentirani iznos od 6.267,47 eura što je manje za 22,90% ili za 1.857,53 eura. Evidentirana obveza za nefakturiranu uslugu odnosi se na izvršenu uslugu u poslovnoj 2025. godini za koju nije primljena faktura. Za isto smo kontaktirali dobavljača, no primili smo obrazloženje da zbog korištenja godišnjih odmora istu nije u mogućnosti isporučiti, odnosno dobavljač je istu isporučio u poslovnoj 2026. godini.</w:t>
      </w:r>
    </w:p>
    <w:p w:rsidR="007C37F0" w:rsidRDefault="007C37F0"/>
    <w:p w:rsidR="007C37F0" w:rsidRDefault="00BF0EB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96</w:t>
            </w:r>
          </w:p>
        </w:tc>
        <w:tc>
          <w:tcPr>
            <w:tcW w:w="3180" w:type="dxa"/>
            <w:tcMar>
              <w:top w:w="0" w:type="dxa"/>
              <w:bottom w:w="0" w:type="dxa"/>
            </w:tcMar>
            <w:vAlign w:val="center"/>
          </w:tcPr>
          <w:p w:rsidR="007C37F0" w:rsidRDefault="00BF0EB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7C37F0" w:rsidRDefault="00BF0EB0">
            <w:pPr>
              <w:keepNext/>
              <w:keepLines/>
              <w:spacing w:after="0" w:line="240" w:lineRule="auto"/>
            </w:pPr>
            <w:r>
              <w:rPr>
                <w:sz w:val="18"/>
              </w:rPr>
              <w:t>96</w:t>
            </w:r>
          </w:p>
        </w:tc>
        <w:tc>
          <w:tcPr>
            <w:tcW w:w="1860" w:type="dxa"/>
            <w:tcMar>
              <w:top w:w="0" w:type="dxa"/>
              <w:bottom w:w="0" w:type="dxa"/>
            </w:tcMar>
            <w:vAlign w:val="center"/>
          </w:tcPr>
          <w:p w:rsidR="007C37F0" w:rsidRDefault="00BF0EB0">
            <w:pPr>
              <w:keepNext/>
              <w:keepLines/>
              <w:spacing w:after="0" w:line="240" w:lineRule="auto"/>
              <w:jc w:val="right"/>
            </w:pPr>
            <w:r>
              <w:rPr>
                <w:sz w:val="18"/>
              </w:rPr>
              <w:t>825.399,76</w:t>
            </w:r>
          </w:p>
        </w:tc>
        <w:tc>
          <w:tcPr>
            <w:tcW w:w="1860" w:type="dxa"/>
            <w:tcMar>
              <w:top w:w="0" w:type="dxa"/>
              <w:bottom w:w="0" w:type="dxa"/>
            </w:tcMar>
            <w:vAlign w:val="center"/>
          </w:tcPr>
          <w:p w:rsidR="007C37F0" w:rsidRDefault="00BF0EB0">
            <w:pPr>
              <w:keepNext/>
              <w:keepLines/>
              <w:spacing w:after="0" w:line="240" w:lineRule="auto"/>
              <w:jc w:val="right"/>
            </w:pPr>
            <w:r>
              <w:rPr>
                <w:sz w:val="18"/>
              </w:rPr>
              <w:t>4.161.212,52</w:t>
            </w:r>
          </w:p>
        </w:tc>
        <w:tc>
          <w:tcPr>
            <w:tcW w:w="700" w:type="dxa"/>
            <w:tcMar>
              <w:top w:w="0" w:type="dxa"/>
              <w:bottom w:w="0" w:type="dxa"/>
            </w:tcMar>
            <w:vAlign w:val="center"/>
          </w:tcPr>
          <w:p w:rsidR="007C37F0" w:rsidRDefault="00BF0EB0">
            <w:pPr>
              <w:keepNext/>
              <w:keepLines/>
              <w:spacing w:after="0" w:line="240" w:lineRule="auto"/>
              <w:jc w:val="right"/>
            </w:pPr>
            <w:r>
              <w:rPr>
                <w:sz w:val="18"/>
              </w:rPr>
              <w:t>504,1</w:t>
            </w:r>
          </w:p>
        </w:tc>
      </w:tr>
    </w:tbl>
    <w:p w:rsidR="007C37F0" w:rsidRDefault="007C37F0">
      <w:pPr>
        <w:spacing w:after="0"/>
      </w:pPr>
    </w:p>
    <w:p w:rsidR="007C37F0" w:rsidRDefault="00BF0EB0" w:rsidP="00164714">
      <w:pPr>
        <w:jc w:val="both"/>
      </w:pPr>
      <w:r>
        <w:t>Iznose 4.161.212,52 eura, veći su za 404,10% ili za 3.335.812,76 eura. Odnose se na obračunate prihode iz inozemstva i od subjekata unutar općeg proračuna, odnosno za obračunate prihode od fondova EU temeljem podnijetih ZNS-ova u iznosu 2.962.637,04 eura, od obračunatih prihoda za pomoći od izvanproračunskih korisnika, odnosno od HZZO-a za refundaciju plaća pripravnike medicinske struke (ide po isplati) u iznosu 22.869,83 eura te za refundaciju dežurstva liječnice na specijalizaciji u iznosu 2.275,73 eura,  na prihode od upravnih i administrativnih pristojbi za participacije i dopunsko osiguranje u iznosu 678.565,42 eura, za prihode od prodanih proizvoda, roba i pruženih usluga iznos od 433.899,30 eura te za obračunate prihode od inozemnih osiguranika i osiguranja temeljem zaštite zdravlja na radu u iznosu 60.965,20 eura.</w:t>
      </w:r>
    </w:p>
    <w:p w:rsidR="007C37F0" w:rsidRDefault="007C37F0"/>
    <w:p w:rsidR="007C37F0" w:rsidRDefault="00BF0EB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991</w:t>
            </w:r>
          </w:p>
        </w:tc>
        <w:tc>
          <w:tcPr>
            <w:tcW w:w="3180" w:type="dxa"/>
            <w:tcMar>
              <w:top w:w="0" w:type="dxa"/>
              <w:bottom w:w="0" w:type="dxa"/>
            </w:tcMar>
            <w:vAlign w:val="center"/>
          </w:tcPr>
          <w:p w:rsidR="007C37F0" w:rsidRDefault="00BF0EB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7C37F0" w:rsidRDefault="00BF0EB0">
            <w:pPr>
              <w:keepNext/>
              <w:keepLines/>
              <w:spacing w:after="0" w:line="240" w:lineRule="auto"/>
            </w:pPr>
            <w:r>
              <w:rPr>
                <w:sz w:val="18"/>
              </w:rPr>
              <w:t>991</w:t>
            </w:r>
          </w:p>
        </w:tc>
        <w:tc>
          <w:tcPr>
            <w:tcW w:w="1860" w:type="dxa"/>
            <w:tcMar>
              <w:top w:w="0" w:type="dxa"/>
              <w:bottom w:w="0" w:type="dxa"/>
            </w:tcMar>
            <w:vAlign w:val="center"/>
          </w:tcPr>
          <w:p w:rsidR="007C37F0" w:rsidRDefault="00BF0EB0">
            <w:pPr>
              <w:keepNext/>
              <w:keepLines/>
              <w:spacing w:after="0" w:line="240" w:lineRule="auto"/>
              <w:jc w:val="right"/>
            </w:pPr>
            <w:r>
              <w:rPr>
                <w:sz w:val="18"/>
              </w:rPr>
              <w:t>23.074.213,91</w:t>
            </w:r>
          </w:p>
        </w:tc>
        <w:tc>
          <w:tcPr>
            <w:tcW w:w="1860" w:type="dxa"/>
            <w:tcMar>
              <w:top w:w="0" w:type="dxa"/>
              <w:bottom w:w="0" w:type="dxa"/>
            </w:tcMar>
            <w:vAlign w:val="center"/>
          </w:tcPr>
          <w:p w:rsidR="007C37F0" w:rsidRDefault="00BF0EB0">
            <w:pPr>
              <w:keepNext/>
              <w:keepLines/>
              <w:spacing w:after="0" w:line="240" w:lineRule="auto"/>
              <w:jc w:val="right"/>
            </w:pPr>
            <w:r>
              <w:rPr>
                <w:sz w:val="18"/>
              </w:rPr>
              <w:t>38.515.695,88</w:t>
            </w:r>
          </w:p>
        </w:tc>
        <w:tc>
          <w:tcPr>
            <w:tcW w:w="700" w:type="dxa"/>
            <w:tcMar>
              <w:top w:w="0" w:type="dxa"/>
              <w:bottom w:w="0" w:type="dxa"/>
            </w:tcMar>
            <w:vAlign w:val="center"/>
          </w:tcPr>
          <w:p w:rsidR="007C37F0" w:rsidRDefault="00BF0EB0">
            <w:pPr>
              <w:keepNext/>
              <w:keepLines/>
              <w:spacing w:after="0" w:line="240" w:lineRule="auto"/>
              <w:jc w:val="right"/>
            </w:pPr>
            <w:r>
              <w:rPr>
                <w:sz w:val="18"/>
              </w:rPr>
              <w:t>166,9</w:t>
            </w:r>
          </w:p>
        </w:tc>
      </w:tr>
    </w:tbl>
    <w:p w:rsidR="007C37F0" w:rsidRDefault="007C37F0">
      <w:pPr>
        <w:spacing w:after="0"/>
      </w:pPr>
    </w:p>
    <w:p w:rsidR="007C37F0" w:rsidRDefault="00BF0EB0" w:rsidP="00164714">
      <w:pPr>
        <w:jc w:val="both"/>
      </w:pPr>
      <w:r>
        <w:lastRenderedPageBreak/>
        <w:t xml:space="preserve">U </w:t>
      </w:r>
      <w:proofErr w:type="spellStart"/>
      <w:r>
        <w:t>izvanbilančnim</w:t>
      </w:r>
      <w:proofErr w:type="spellEnd"/>
      <w:r>
        <w:t xml:space="preserve"> zapisima evidentirana su dana i primljena jamstva za otklanjanje nedostataka u jamstvenom roku temeljem sklopljenih ugovora, kao i primljena jamstva (bankarske garancije, zadužnice i novčani </w:t>
      </w:r>
      <w:proofErr w:type="spellStart"/>
      <w:r>
        <w:t>polozi</w:t>
      </w:r>
      <w:proofErr w:type="spellEnd"/>
      <w:r>
        <w:t>) po osnovi sklopljenih ugovora (jamstvo za ozbiljnost ponude, za dobro izvršenje ugovora te za otklanjanje nedostataka u jamstvenom roku). Nadalje, evidentirana su tuđa sredstva na korištenju, potencijalne obveze po sudskim sporovima u tijeku (koje je pokrenula bolnica, kao i sporovi pokrenuti protiv bolnice), preuzete obveze po ugovorima o nabavi roba, radova i usluga te potraživanja po ugovorima o dodijeljenim EU sredstvima.</w:t>
      </w:r>
    </w:p>
    <w:p w:rsidR="007C37F0" w:rsidRDefault="00BF0EB0" w:rsidP="00164714">
      <w:pPr>
        <w:jc w:val="both"/>
      </w:pPr>
      <w:r>
        <w:t xml:space="preserve">Tijekom 2025. godine vraćena su primljena jamstva za koja su ugovorne obveze istekle. U odnosu na stanje na dan 1. 1. 2025. godine, stanje </w:t>
      </w:r>
      <w:proofErr w:type="spellStart"/>
      <w:r>
        <w:t>izvanbilančnih</w:t>
      </w:r>
      <w:proofErr w:type="spellEnd"/>
      <w:r>
        <w:t xml:space="preserve"> zapisa veće je za 66,90%, odnosno za 15.441.481,97 eura. Razlog navedenog povećanja očituje se u novoj obvezi evidentiranja preuzetih obveza po ugovorima te potraživanja po ugovorima o dodijeljenim EU sredstvima.</w:t>
      </w:r>
    </w:p>
    <w:p w:rsidR="007C37F0" w:rsidRDefault="007C37F0"/>
    <w:p w:rsidR="007C37F0" w:rsidRDefault="00BF0EB0">
      <w:pPr>
        <w:keepNext/>
        <w:spacing w:line="240" w:lineRule="auto"/>
        <w:jc w:val="center"/>
      </w:pPr>
      <w:r>
        <w:rPr>
          <w:b/>
          <w:sz w:val="28"/>
        </w:rPr>
        <w:t>Izvještaj o rashodima prema funkcijskoj klasifikaciji</w:t>
      </w:r>
    </w:p>
    <w:p w:rsidR="007C37F0" w:rsidRDefault="00BF0EB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04</w:t>
            </w:r>
          </w:p>
        </w:tc>
        <w:tc>
          <w:tcPr>
            <w:tcW w:w="3180" w:type="dxa"/>
            <w:tcMar>
              <w:top w:w="0" w:type="dxa"/>
              <w:bottom w:w="0" w:type="dxa"/>
            </w:tcMar>
            <w:vAlign w:val="center"/>
          </w:tcPr>
          <w:p w:rsidR="007C37F0" w:rsidRDefault="00BF0EB0">
            <w:pPr>
              <w:keepNext/>
              <w:keepLines/>
              <w:spacing w:after="0" w:line="240" w:lineRule="auto"/>
            </w:pPr>
            <w:r>
              <w:rPr>
                <w:sz w:val="18"/>
              </w:rPr>
              <w:t>Ekonomski poslovi (šifre 041+042+043+044+045+046+047+048+049)</w:t>
            </w:r>
          </w:p>
        </w:tc>
        <w:tc>
          <w:tcPr>
            <w:tcW w:w="700" w:type="dxa"/>
            <w:tcMar>
              <w:top w:w="0" w:type="dxa"/>
              <w:bottom w:w="0" w:type="dxa"/>
            </w:tcMar>
            <w:vAlign w:val="center"/>
          </w:tcPr>
          <w:p w:rsidR="007C37F0" w:rsidRDefault="00BF0EB0">
            <w:pPr>
              <w:keepNext/>
              <w:keepLines/>
              <w:spacing w:after="0" w:line="240" w:lineRule="auto"/>
            </w:pPr>
            <w:r>
              <w:rPr>
                <w:sz w:val="18"/>
              </w:rPr>
              <w:t>04</w:t>
            </w:r>
          </w:p>
        </w:tc>
        <w:tc>
          <w:tcPr>
            <w:tcW w:w="1860" w:type="dxa"/>
            <w:tcMar>
              <w:top w:w="0" w:type="dxa"/>
              <w:bottom w:w="0" w:type="dxa"/>
            </w:tcMar>
            <w:vAlign w:val="center"/>
          </w:tcPr>
          <w:p w:rsidR="007C37F0" w:rsidRDefault="00BF0EB0">
            <w:pPr>
              <w:keepNext/>
              <w:keepLines/>
              <w:spacing w:after="0" w:line="240" w:lineRule="auto"/>
              <w:jc w:val="right"/>
            </w:pPr>
            <w:r>
              <w:rPr>
                <w:sz w:val="18"/>
              </w:rPr>
              <w:t>4.813.243,85</w:t>
            </w:r>
          </w:p>
        </w:tc>
        <w:tc>
          <w:tcPr>
            <w:tcW w:w="1860" w:type="dxa"/>
            <w:tcMar>
              <w:top w:w="0" w:type="dxa"/>
              <w:bottom w:w="0" w:type="dxa"/>
            </w:tcMar>
            <w:vAlign w:val="center"/>
          </w:tcPr>
          <w:p w:rsidR="007C37F0" w:rsidRDefault="00BF0EB0">
            <w:pPr>
              <w:keepNext/>
              <w:keepLines/>
              <w:spacing w:after="0" w:line="240" w:lineRule="auto"/>
              <w:jc w:val="right"/>
            </w:pPr>
            <w:r>
              <w:rPr>
                <w:sz w:val="18"/>
              </w:rPr>
              <w:t>1.064.111,69</w:t>
            </w:r>
          </w:p>
        </w:tc>
        <w:tc>
          <w:tcPr>
            <w:tcW w:w="700" w:type="dxa"/>
            <w:tcMar>
              <w:top w:w="0" w:type="dxa"/>
              <w:bottom w:w="0" w:type="dxa"/>
            </w:tcMar>
            <w:vAlign w:val="center"/>
          </w:tcPr>
          <w:p w:rsidR="007C37F0" w:rsidRDefault="00BF0EB0">
            <w:pPr>
              <w:keepNext/>
              <w:keepLines/>
              <w:spacing w:after="0" w:line="240" w:lineRule="auto"/>
              <w:jc w:val="right"/>
            </w:pPr>
            <w:r>
              <w:rPr>
                <w:sz w:val="18"/>
              </w:rPr>
              <w:t>22,1</w:t>
            </w:r>
          </w:p>
        </w:tc>
      </w:tr>
    </w:tbl>
    <w:p w:rsidR="007C37F0" w:rsidRDefault="007C37F0">
      <w:pPr>
        <w:spacing w:after="0"/>
      </w:pPr>
    </w:p>
    <w:p w:rsidR="007C37F0" w:rsidRDefault="00BF0EB0" w:rsidP="00164714">
      <w:pPr>
        <w:jc w:val="both"/>
      </w:pPr>
      <w:r>
        <w:t>Specijalna bolnica za medicinsku rehabilitaciju ostvaruje i vlastite prihode od tržišta – od turističko ugostiteljskog dijela, smještajnog dijela, a rashodi po osnovi navedene djelatnosti iskazani su u okviru funkcije 0472- hoteli i restorani  u iznosu 1.064.111,69 eura, manji su za 77,90% ili za 3.749.132,16 eura. Odnose se na rashode prema zaposlenima, za materijal i energiju, nabavu razne opreme. Hotel Minerva je s 1. ožujkom 2025. godine zatvoren zbog izvođenja građevinsko-obrtničkih i instalaterskih radova te je posljedično i rashod po ovoj osnovi manji.</w:t>
      </w:r>
    </w:p>
    <w:p w:rsidR="007C37F0" w:rsidRDefault="007C37F0"/>
    <w:p w:rsidR="007C37F0" w:rsidRDefault="00BF0EB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BF0EB0">
            <w:pPr>
              <w:keepNext/>
              <w:keepLines/>
              <w:spacing w:after="0" w:line="240" w:lineRule="auto"/>
            </w:pPr>
            <w:r>
              <w:rPr>
                <w:sz w:val="18"/>
              </w:rPr>
              <w:t>07</w:t>
            </w:r>
          </w:p>
        </w:tc>
        <w:tc>
          <w:tcPr>
            <w:tcW w:w="3180" w:type="dxa"/>
            <w:tcMar>
              <w:top w:w="0" w:type="dxa"/>
              <w:bottom w:w="0" w:type="dxa"/>
            </w:tcMar>
            <w:vAlign w:val="center"/>
          </w:tcPr>
          <w:p w:rsidR="007C37F0" w:rsidRDefault="00BF0EB0">
            <w:pPr>
              <w:keepNext/>
              <w:keepLines/>
              <w:spacing w:after="0" w:line="240" w:lineRule="auto"/>
            </w:pPr>
            <w:r>
              <w:rPr>
                <w:sz w:val="18"/>
              </w:rPr>
              <w:t>Zdravstvo (šifre 071+072+073+074+075+076)</w:t>
            </w:r>
          </w:p>
        </w:tc>
        <w:tc>
          <w:tcPr>
            <w:tcW w:w="700" w:type="dxa"/>
            <w:tcMar>
              <w:top w:w="0" w:type="dxa"/>
              <w:bottom w:w="0" w:type="dxa"/>
            </w:tcMar>
            <w:vAlign w:val="center"/>
          </w:tcPr>
          <w:p w:rsidR="007C37F0" w:rsidRDefault="00BF0EB0">
            <w:pPr>
              <w:keepNext/>
              <w:keepLines/>
              <w:spacing w:after="0" w:line="240" w:lineRule="auto"/>
            </w:pPr>
            <w:r>
              <w:rPr>
                <w:sz w:val="18"/>
              </w:rPr>
              <w:t>07</w:t>
            </w:r>
          </w:p>
        </w:tc>
        <w:tc>
          <w:tcPr>
            <w:tcW w:w="1860" w:type="dxa"/>
            <w:tcMar>
              <w:top w:w="0" w:type="dxa"/>
              <w:bottom w:w="0" w:type="dxa"/>
            </w:tcMar>
            <w:vAlign w:val="center"/>
          </w:tcPr>
          <w:p w:rsidR="007C37F0" w:rsidRDefault="00BF0EB0">
            <w:pPr>
              <w:keepNext/>
              <w:keepLines/>
              <w:spacing w:after="0" w:line="240" w:lineRule="auto"/>
              <w:jc w:val="right"/>
            </w:pPr>
            <w:r>
              <w:rPr>
                <w:sz w:val="18"/>
              </w:rPr>
              <w:t>22.341.689,89</w:t>
            </w:r>
          </w:p>
        </w:tc>
        <w:tc>
          <w:tcPr>
            <w:tcW w:w="1860" w:type="dxa"/>
            <w:tcMar>
              <w:top w:w="0" w:type="dxa"/>
              <w:bottom w:w="0" w:type="dxa"/>
            </w:tcMar>
            <w:vAlign w:val="center"/>
          </w:tcPr>
          <w:p w:rsidR="007C37F0" w:rsidRDefault="00BF0EB0">
            <w:pPr>
              <w:keepNext/>
              <w:keepLines/>
              <w:spacing w:after="0" w:line="240" w:lineRule="auto"/>
              <w:jc w:val="right"/>
            </w:pPr>
            <w:r>
              <w:rPr>
                <w:sz w:val="18"/>
              </w:rPr>
              <w:t>36.355.517,45</w:t>
            </w:r>
          </w:p>
        </w:tc>
        <w:tc>
          <w:tcPr>
            <w:tcW w:w="700" w:type="dxa"/>
            <w:tcMar>
              <w:top w:w="0" w:type="dxa"/>
              <w:bottom w:w="0" w:type="dxa"/>
            </w:tcMar>
            <w:vAlign w:val="center"/>
          </w:tcPr>
          <w:p w:rsidR="007C37F0" w:rsidRDefault="00BF0EB0">
            <w:pPr>
              <w:keepNext/>
              <w:keepLines/>
              <w:spacing w:after="0" w:line="240" w:lineRule="auto"/>
              <w:jc w:val="right"/>
            </w:pPr>
            <w:r>
              <w:rPr>
                <w:sz w:val="18"/>
              </w:rPr>
              <w:t>162,7</w:t>
            </w:r>
          </w:p>
        </w:tc>
      </w:tr>
    </w:tbl>
    <w:p w:rsidR="007C37F0" w:rsidRDefault="007C37F0">
      <w:pPr>
        <w:spacing w:after="0"/>
      </w:pPr>
    </w:p>
    <w:p w:rsidR="007C37F0" w:rsidRDefault="00BF0EB0" w:rsidP="00164714">
      <w:pPr>
        <w:jc w:val="both"/>
      </w:pPr>
      <w:r>
        <w:t>Specijalna bolnica za medicinsku rehabilitaciju Varaždinske Toplice obavlja bolničku, te specijalističko-konzilijarnu zdravstvenu zaštitu za koju su rashodi iskazani na šifri 0732 – usluge specijalističkih bolnica (razred 3 i 4) u iznosu 36.355.517,45 eura. U 2025. godini iskazani su rashodi veći za 62,70% ili za 14.013.827,56 eura u odnosu na prethodnu godinu.</w:t>
      </w:r>
    </w:p>
    <w:p w:rsidR="007C37F0" w:rsidRDefault="007C37F0"/>
    <w:p w:rsidR="007C37F0" w:rsidRDefault="00BF0EB0">
      <w:pPr>
        <w:keepNext/>
        <w:spacing w:line="240" w:lineRule="auto"/>
        <w:jc w:val="center"/>
      </w:pPr>
      <w:r>
        <w:rPr>
          <w:sz w:val="28"/>
        </w:rPr>
        <w:lastRenderedPageBreak/>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Kontrolni zbroj (šifre 01+02+03+04+05+06+07+08+09+10)</w:t>
            </w:r>
          </w:p>
        </w:tc>
        <w:tc>
          <w:tcPr>
            <w:tcW w:w="700" w:type="dxa"/>
            <w:tcMar>
              <w:top w:w="0" w:type="dxa"/>
              <w:bottom w:w="0" w:type="dxa"/>
            </w:tcMar>
            <w:vAlign w:val="center"/>
          </w:tcPr>
          <w:p w:rsidR="007C37F0" w:rsidRDefault="00BF0EB0">
            <w:pPr>
              <w:keepNext/>
              <w:keepLines/>
              <w:spacing w:after="0" w:line="240" w:lineRule="auto"/>
            </w:pPr>
            <w:r>
              <w:rPr>
                <w:sz w:val="18"/>
              </w:rPr>
              <w:t>R1</w:t>
            </w:r>
          </w:p>
        </w:tc>
        <w:tc>
          <w:tcPr>
            <w:tcW w:w="1860" w:type="dxa"/>
            <w:tcMar>
              <w:top w:w="0" w:type="dxa"/>
              <w:bottom w:w="0" w:type="dxa"/>
            </w:tcMar>
            <w:vAlign w:val="center"/>
          </w:tcPr>
          <w:p w:rsidR="007C37F0" w:rsidRDefault="00BF0EB0">
            <w:pPr>
              <w:keepNext/>
              <w:keepLines/>
              <w:spacing w:after="0" w:line="240" w:lineRule="auto"/>
              <w:jc w:val="right"/>
            </w:pPr>
            <w:r>
              <w:rPr>
                <w:sz w:val="18"/>
              </w:rPr>
              <w:t>27.154.933,74</w:t>
            </w:r>
          </w:p>
        </w:tc>
        <w:tc>
          <w:tcPr>
            <w:tcW w:w="1860" w:type="dxa"/>
            <w:tcMar>
              <w:top w:w="0" w:type="dxa"/>
              <w:bottom w:w="0" w:type="dxa"/>
            </w:tcMar>
            <w:vAlign w:val="center"/>
          </w:tcPr>
          <w:p w:rsidR="007C37F0" w:rsidRDefault="00BF0EB0">
            <w:pPr>
              <w:keepNext/>
              <w:keepLines/>
              <w:spacing w:after="0" w:line="240" w:lineRule="auto"/>
              <w:jc w:val="right"/>
            </w:pPr>
            <w:r>
              <w:rPr>
                <w:sz w:val="18"/>
              </w:rPr>
              <w:t>37.419.629,14</w:t>
            </w:r>
          </w:p>
        </w:tc>
        <w:tc>
          <w:tcPr>
            <w:tcW w:w="700" w:type="dxa"/>
            <w:tcMar>
              <w:top w:w="0" w:type="dxa"/>
              <w:bottom w:w="0" w:type="dxa"/>
            </w:tcMar>
            <w:vAlign w:val="center"/>
          </w:tcPr>
          <w:p w:rsidR="007C37F0" w:rsidRDefault="00BF0EB0">
            <w:pPr>
              <w:keepNext/>
              <w:keepLines/>
              <w:spacing w:after="0" w:line="240" w:lineRule="auto"/>
              <w:jc w:val="right"/>
            </w:pPr>
            <w:r>
              <w:rPr>
                <w:sz w:val="18"/>
              </w:rPr>
              <w:t>137,8</w:t>
            </w:r>
          </w:p>
        </w:tc>
      </w:tr>
    </w:tbl>
    <w:p w:rsidR="007C37F0" w:rsidRDefault="007C37F0">
      <w:pPr>
        <w:spacing w:after="0"/>
      </w:pPr>
    </w:p>
    <w:p w:rsidR="007C37F0" w:rsidRDefault="00BF0EB0" w:rsidP="00164714">
      <w:pPr>
        <w:jc w:val="both"/>
      </w:pPr>
      <w:r>
        <w:t>U 2025. godini iskazani su rashodi (razred 3 i razred 4) u iznosu 37.419.629,14 eura, što je više za 37,80% u odnosu na prethodnu godinu.</w:t>
      </w:r>
    </w:p>
    <w:p w:rsidR="007C37F0" w:rsidRDefault="007C37F0"/>
    <w:p w:rsidR="007C37F0" w:rsidRDefault="00BF0EB0">
      <w:pPr>
        <w:keepNext/>
        <w:spacing w:line="240" w:lineRule="auto"/>
        <w:jc w:val="center"/>
      </w:pPr>
      <w:r>
        <w:rPr>
          <w:b/>
          <w:sz w:val="28"/>
        </w:rPr>
        <w:t>Promjene u vrijednosti i obujmu imovine i obveza</w:t>
      </w:r>
    </w:p>
    <w:p w:rsidR="007C37F0" w:rsidRDefault="00BF0EB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rsidR="007C37F0" w:rsidRDefault="00BF0EB0">
            <w:pPr>
              <w:keepNext/>
              <w:keepLines/>
              <w:spacing w:after="0" w:line="240" w:lineRule="auto"/>
            </w:pPr>
            <w:r>
              <w:rPr>
                <w:sz w:val="18"/>
              </w:rPr>
              <w:t>P016</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1860" w:type="dxa"/>
            <w:tcMar>
              <w:top w:w="0" w:type="dxa"/>
              <w:bottom w:w="0" w:type="dxa"/>
            </w:tcMar>
            <w:vAlign w:val="center"/>
          </w:tcPr>
          <w:p w:rsidR="007C37F0" w:rsidRDefault="00BF0EB0">
            <w:pPr>
              <w:keepNext/>
              <w:keepLines/>
              <w:spacing w:after="0" w:line="240" w:lineRule="auto"/>
              <w:jc w:val="right"/>
            </w:pPr>
            <w:r>
              <w:rPr>
                <w:sz w:val="18"/>
              </w:rPr>
              <w:t>5.497,57</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164714">
      <w:pPr>
        <w:jc w:val="both"/>
      </w:pPr>
      <w:r>
        <w:t>Smanjenje u iznosu 5.497,57 eura odnosi se na rashode dugotrajne imovine u tijeku godine (rashod zastarjele opreme i namještaja).</w:t>
      </w:r>
    </w:p>
    <w:p w:rsidR="007C37F0" w:rsidRDefault="007C37F0"/>
    <w:p w:rsidR="007C37F0" w:rsidRDefault="00BF0EB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rsidR="007C37F0" w:rsidRDefault="00BF0EB0">
            <w:pPr>
              <w:keepNext/>
              <w:keepLines/>
              <w:spacing w:after="0" w:line="240" w:lineRule="auto"/>
            </w:pPr>
            <w:r>
              <w:rPr>
                <w:sz w:val="18"/>
              </w:rPr>
              <w:t>P023</w:t>
            </w:r>
          </w:p>
        </w:tc>
        <w:tc>
          <w:tcPr>
            <w:tcW w:w="1860" w:type="dxa"/>
            <w:tcMar>
              <w:top w:w="0" w:type="dxa"/>
              <w:bottom w:w="0" w:type="dxa"/>
            </w:tcMar>
            <w:vAlign w:val="center"/>
          </w:tcPr>
          <w:p w:rsidR="007C37F0" w:rsidRDefault="00BF0EB0">
            <w:pPr>
              <w:keepNext/>
              <w:keepLines/>
              <w:spacing w:after="0" w:line="240" w:lineRule="auto"/>
              <w:jc w:val="right"/>
            </w:pPr>
            <w:r>
              <w:rPr>
                <w:sz w:val="18"/>
              </w:rPr>
              <w:t>0,00</w:t>
            </w:r>
          </w:p>
        </w:tc>
        <w:tc>
          <w:tcPr>
            <w:tcW w:w="1860" w:type="dxa"/>
            <w:tcMar>
              <w:top w:w="0" w:type="dxa"/>
              <w:bottom w:w="0" w:type="dxa"/>
            </w:tcMar>
            <w:vAlign w:val="center"/>
          </w:tcPr>
          <w:p w:rsidR="007C37F0" w:rsidRDefault="00BF0EB0">
            <w:pPr>
              <w:keepNext/>
              <w:keepLines/>
              <w:spacing w:after="0" w:line="240" w:lineRule="auto"/>
              <w:jc w:val="right"/>
            </w:pPr>
            <w:r>
              <w:rPr>
                <w:sz w:val="18"/>
              </w:rPr>
              <w:t>735,27</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164714">
      <w:pPr>
        <w:jc w:val="both"/>
      </w:pPr>
      <w:r>
        <w:t>Smanjenje za 735,27 eura odnosi se na otpis nenaplativih potraživanja od kupaca, temeljem Odluke Upravnog vijeća br. 01-1230/2-2025. od 26.11.2025. godine. Ukupni ispravak potraživanja iznosio je 874,24 eura. Međutim, s obzirom na to da je nad dijelom nenaplativih potraživanja prethodno proveden i zatvoren ispravak vrijednosti (uz primijenjenu stopu 100%), konačni iznos smanjenja potraživanja iznosi 735,27 eura</w:t>
      </w:r>
      <w:r w:rsidR="00164714">
        <w:t>.</w:t>
      </w:r>
    </w:p>
    <w:p w:rsidR="007C37F0" w:rsidRDefault="007C37F0"/>
    <w:p w:rsidR="007C37F0" w:rsidRDefault="00BF0EB0">
      <w:pPr>
        <w:keepNext/>
        <w:spacing w:line="240" w:lineRule="auto"/>
        <w:jc w:val="center"/>
      </w:pPr>
      <w:r>
        <w:rPr>
          <w:b/>
          <w:sz w:val="28"/>
        </w:rPr>
        <w:t>Izvještaj o obvezama</w:t>
      </w:r>
    </w:p>
    <w:p w:rsidR="007C37F0" w:rsidRDefault="00BF0EB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7C37F0" w:rsidRDefault="00BF0EB0">
            <w:pPr>
              <w:keepNext/>
              <w:keepLines/>
              <w:spacing w:after="0" w:line="240" w:lineRule="auto"/>
            </w:pPr>
            <w:r>
              <w:rPr>
                <w:sz w:val="18"/>
              </w:rPr>
              <w:t>V001</w:t>
            </w:r>
          </w:p>
        </w:tc>
        <w:tc>
          <w:tcPr>
            <w:tcW w:w="1860" w:type="dxa"/>
            <w:tcMar>
              <w:top w:w="0" w:type="dxa"/>
              <w:bottom w:w="0" w:type="dxa"/>
            </w:tcMar>
            <w:vAlign w:val="center"/>
          </w:tcPr>
          <w:p w:rsidR="007C37F0" w:rsidRDefault="00BF0EB0">
            <w:pPr>
              <w:keepNext/>
              <w:keepLines/>
              <w:spacing w:after="0" w:line="240" w:lineRule="auto"/>
              <w:jc w:val="right"/>
            </w:pPr>
            <w:r>
              <w:rPr>
                <w:sz w:val="18"/>
              </w:rPr>
              <w:t>21.644.630,13</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164714">
      <w:pPr>
        <w:jc w:val="both"/>
      </w:pPr>
      <w:r>
        <w:lastRenderedPageBreak/>
        <w:t>Stanje obveza na dan 01.01.2025. godine iznose 21.644.630,13 eura, dok na kraju izvještajnog razdoblja (V006) iznosi 27.717.307,80 eura. Pokazatelji ukazuju na povećanje obveza za 6.072.677,67 eura ili 28,05%.</w:t>
      </w:r>
    </w:p>
    <w:p w:rsidR="007C37F0" w:rsidRDefault="007C37F0"/>
    <w:p w:rsidR="007C37F0" w:rsidRDefault="00BF0EB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rsidR="007C37F0" w:rsidRDefault="00BF0EB0">
            <w:pPr>
              <w:keepNext/>
              <w:keepLines/>
              <w:spacing w:after="0" w:line="240" w:lineRule="auto"/>
            </w:pPr>
            <w:r>
              <w:rPr>
                <w:sz w:val="18"/>
              </w:rPr>
              <w:t>V004</w:t>
            </w:r>
          </w:p>
        </w:tc>
        <w:tc>
          <w:tcPr>
            <w:tcW w:w="1860" w:type="dxa"/>
            <w:tcMar>
              <w:top w:w="0" w:type="dxa"/>
              <w:bottom w:w="0" w:type="dxa"/>
            </w:tcMar>
            <w:vAlign w:val="center"/>
          </w:tcPr>
          <w:p w:rsidR="007C37F0" w:rsidRDefault="00BF0EB0">
            <w:pPr>
              <w:keepNext/>
              <w:keepLines/>
              <w:spacing w:after="0" w:line="240" w:lineRule="auto"/>
              <w:jc w:val="right"/>
            </w:pPr>
            <w:r>
              <w:rPr>
                <w:sz w:val="18"/>
              </w:rPr>
              <w:t>47.366.510,61</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164714">
      <w:pPr>
        <w:jc w:val="both"/>
      </w:pPr>
      <w:r>
        <w:t>Evidentirane su u ukupnom iznosu od 47.366.510,61 eura, a odnose se na:</w:t>
      </w:r>
    </w:p>
    <w:p w:rsidR="007C37F0" w:rsidRDefault="00BF0EB0" w:rsidP="00164714">
      <w:pPr>
        <w:jc w:val="both"/>
      </w:pPr>
      <w:r>
        <w:t>Podmirenje međusobnih obveza subjekata općeg proračuna – 25.243,43 eura,</w:t>
      </w:r>
      <w:r>
        <w:br/>
        <w:t>Rashode poslovanja – 29.964.797,29 eura (isplate prema zaposlenima, materijalni rashodi, financijski rashodi, naknade građanima i kućanstvima (stipendije djeci preminulih radnika) i tekuće obveze),</w:t>
      </w:r>
      <w:r>
        <w:br/>
        <w:t>Nabavu nefinancijske imovine – 7.178.611,35 eura (medicinska oprema, uredska oprema i namještaj, razna oprema i dodatna ulaganja na građevinskim objektima),</w:t>
      </w:r>
      <w:r>
        <w:br/>
        <w:t>Podmirenje financijskih obveza – 1.370.612,53 eura (otplata glavnice po investicijskim kreditima za energetsku obnovu bolničkih zgrada – HBOR Minerva i Zagrebačka banka).</w:t>
      </w:r>
      <w:r>
        <w:br/>
        <w:t>Obveze za predujmove – 8.827.246,01 eura (zatvoren predujam iz EU fondova za).</w:t>
      </w:r>
    </w:p>
    <w:p w:rsidR="007C37F0" w:rsidRDefault="007C37F0"/>
    <w:p w:rsidR="007C37F0" w:rsidRDefault="00BF0EB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7C37F0" w:rsidRDefault="00BF0EB0">
            <w:pPr>
              <w:keepNext/>
              <w:keepLines/>
              <w:spacing w:after="0" w:line="240" w:lineRule="auto"/>
            </w:pPr>
            <w:r>
              <w:rPr>
                <w:sz w:val="18"/>
              </w:rPr>
              <w:t>V006</w:t>
            </w:r>
          </w:p>
        </w:tc>
        <w:tc>
          <w:tcPr>
            <w:tcW w:w="1860" w:type="dxa"/>
            <w:tcMar>
              <w:top w:w="0" w:type="dxa"/>
              <w:bottom w:w="0" w:type="dxa"/>
            </w:tcMar>
            <w:vAlign w:val="center"/>
          </w:tcPr>
          <w:p w:rsidR="007C37F0" w:rsidRDefault="00BF0EB0">
            <w:pPr>
              <w:keepNext/>
              <w:keepLines/>
              <w:spacing w:after="0" w:line="240" w:lineRule="auto"/>
              <w:jc w:val="right"/>
            </w:pPr>
            <w:r>
              <w:rPr>
                <w:sz w:val="18"/>
              </w:rPr>
              <w:t>27.717.307,80</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164714">
      <w:pPr>
        <w:jc w:val="both"/>
      </w:pPr>
      <w:r>
        <w:t>Evidentirane su u iznosu 27.717.307,80 eura i to za dospjele obveze u iznosu 1.617.088,69 eura:</w:t>
      </w:r>
    </w:p>
    <w:p w:rsidR="007C37F0" w:rsidRDefault="00BF0EB0" w:rsidP="00164714">
      <w:pPr>
        <w:jc w:val="both"/>
      </w:pPr>
      <w:r>
        <w:t>-        Za međusobne obveze subjekata općeg proračuna 9.557,59 eura (sistematski pregledi zaposlenika, usluge mikrobiologije za bolničke pacijente),</w:t>
      </w:r>
    </w:p>
    <w:p w:rsidR="007C37F0" w:rsidRDefault="00BF0EB0" w:rsidP="00164714">
      <w:pPr>
        <w:jc w:val="both"/>
      </w:pPr>
      <w:r>
        <w:t>-        Za materijalne rashode u iznosu 605.580,33 eura za podmirenje obveza (živežne namirnice, energija, razne usluge),</w:t>
      </w:r>
    </w:p>
    <w:p w:rsidR="007C37F0" w:rsidRDefault="00BF0EB0" w:rsidP="00164714">
      <w:pPr>
        <w:jc w:val="both"/>
      </w:pPr>
      <w:r>
        <w:t>-        Za obveze na nefinancijskoj imovini (dodatna ulaganja u građevinske objekte) u iznosu 1.001.950,77 eura.</w:t>
      </w:r>
    </w:p>
    <w:p w:rsidR="007C37F0" w:rsidRDefault="00BF0EB0" w:rsidP="00164714">
      <w:pPr>
        <w:jc w:val="both"/>
      </w:pPr>
      <w:r>
        <w:t>Ukupne nedospjele obveze iznose 26.100.29,11 eura.</w:t>
      </w:r>
    </w:p>
    <w:p w:rsidR="007C37F0" w:rsidRDefault="00BF0EB0" w:rsidP="00164714">
      <w:pPr>
        <w:jc w:val="both"/>
      </w:pPr>
      <w:r>
        <w:t xml:space="preserve">U poslovnoj 2025. godini evidentirano je povećanje obveza za 28,05%, ali i veći iznos podmirenih obveza u odnosu na prethodnu 2024. godinu za 15,19%. Najznačajniji rast obveza zabilježen je u obvezama za nabavu nefinancijske imovine, odnosno u obvezama prema izvođaču radova na projektu „Unapređenje kvalitete smještaja i sadržaja hotela Minerva“ te na obvezama za financijsku imovinu po kratkoročnom okvirnom kreditu Cash </w:t>
      </w:r>
      <w:proofErr w:type="spellStart"/>
      <w:r>
        <w:t>poolu</w:t>
      </w:r>
      <w:proofErr w:type="spellEnd"/>
      <w:r>
        <w:t xml:space="preserve">.  Također, evidentirani je primljeni predujam iz Fondova EU za podmirenje obveza prema izvođaču </w:t>
      </w:r>
      <w:r>
        <w:lastRenderedPageBreak/>
        <w:t>radova spomenutog objekta u 99,62%-</w:t>
      </w:r>
      <w:proofErr w:type="spellStart"/>
      <w:r>
        <w:t>tnom</w:t>
      </w:r>
      <w:proofErr w:type="spellEnd"/>
      <w:r>
        <w:t xml:space="preserve"> iznosu koji je u toku godine i zatvoren. Iz predujma Fondova EU plaćene su obveze po privremenim situacijama do 10. privremene situacije (10. privremena podmirena djelomično), dok su 11. i 12. privremena situacija ostale nepodmirene.</w:t>
      </w:r>
    </w:p>
    <w:p w:rsidR="007C37F0" w:rsidRDefault="00BF0EB0" w:rsidP="00BA17BC">
      <w:pPr>
        <w:jc w:val="both"/>
      </w:pPr>
      <w:r>
        <w:t xml:space="preserve">Unatoč evidentiranom rastu obveza u 2025. godini, bolnica je zadržala kontinuitet u podmirivanju obveza te odgovorno upravljala financijskim tokovima, osobito u kontekstu provedbe značajnog investicijskog projekta. Povećanje obveza najvećim je dijelom rezultat planiranih ulaganja u nefinancijsku imovinu, uz učinkovito korištenje sredstava iz Fondova EU za financiranje projekta. Da je bolnica tijekom proteklih godina poslovala u stabilnim uvjetima – bez utjecaja </w:t>
      </w:r>
      <w:proofErr w:type="spellStart"/>
      <w:r>
        <w:t>pandemije</w:t>
      </w:r>
      <w:proofErr w:type="spellEnd"/>
      <w:r>
        <w:t xml:space="preserve"> COVID-19, inflacije i s priznatim realnim cijenama usluga od strane HZZO-a – obveze bi bile uredno podmirene a financijska situacija značajno povoljnija. U trenutnoj situaciji investicijskih ciklusa bolnica bi imala osiguranu stabilnu likvidnost i financijsku održivost, bez potrebe za dodatnim prilagodbama i oslanjanjem na ostale izvore financiranja.</w:t>
      </w:r>
    </w:p>
    <w:p w:rsidR="007C37F0" w:rsidRDefault="007C37F0"/>
    <w:p w:rsidR="007C37F0" w:rsidRDefault="00BF0EB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37F0">
        <w:trPr>
          <w:cantSplit/>
        </w:trPr>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C37F0" w:rsidRDefault="00BF0EB0">
            <w:pPr>
              <w:keepNext/>
              <w:keepLines/>
              <w:spacing w:after="0" w:line="240" w:lineRule="auto"/>
              <w:jc w:val="center"/>
            </w:pPr>
            <w:r>
              <w:rPr>
                <w:b/>
                <w:sz w:val="18"/>
              </w:rPr>
              <w:t>Indeks (%)</w:t>
            </w:r>
          </w:p>
        </w:tc>
      </w:tr>
      <w:tr w:rsidR="007C37F0">
        <w:trPr>
          <w:cantSplit/>
          <w:trHeight w:val="560"/>
        </w:trPr>
        <w:tc>
          <w:tcPr>
            <w:tcW w:w="700" w:type="dxa"/>
            <w:tcMar>
              <w:top w:w="0" w:type="dxa"/>
              <w:bottom w:w="0" w:type="dxa"/>
            </w:tcMar>
            <w:vAlign w:val="center"/>
          </w:tcPr>
          <w:p w:rsidR="007C37F0" w:rsidRDefault="007C37F0">
            <w:pPr>
              <w:keepNext/>
              <w:keepLines/>
              <w:spacing w:after="0" w:line="240" w:lineRule="auto"/>
            </w:pPr>
          </w:p>
        </w:tc>
        <w:tc>
          <w:tcPr>
            <w:tcW w:w="3180" w:type="dxa"/>
            <w:tcMar>
              <w:top w:w="0" w:type="dxa"/>
              <w:bottom w:w="0" w:type="dxa"/>
            </w:tcMar>
            <w:vAlign w:val="center"/>
          </w:tcPr>
          <w:p w:rsidR="007C37F0" w:rsidRDefault="00BF0EB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C37F0" w:rsidRDefault="00BF0EB0">
            <w:pPr>
              <w:keepNext/>
              <w:keepLines/>
              <w:spacing w:after="0" w:line="240" w:lineRule="auto"/>
            </w:pPr>
            <w:r>
              <w:rPr>
                <w:sz w:val="18"/>
              </w:rPr>
              <w:t>V007</w:t>
            </w:r>
          </w:p>
        </w:tc>
        <w:tc>
          <w:tcPr>
            <w:tcW w:w="1860" w:type="dxa"/>
            <w:tcMar>
              <w:top w:w="0" w:type="dxa"/>
              <w:bottom w:w="0" w:type="dxa"/>
            </w:tcMar>
            <w:vAlign w:val="center"/>
          </w:tcPr>
          <w:p w:rsidR="007C37F0" w:rsidRDefault="00BF0EB0">
            <w:pPr>
              <w:keepNext/>
              <w:keepLines/>
              <w:spacing w:after="0" w:line="240" w:lineRule="auto"/>
              <w:jc w:val="right"/>
            </w:pPr>
            <w:r>
              <w:rPr>
                <w:sz w:val="18"/>
              </w:rPr>
              <w:t>1.617.088,69</w:t>
            </w:r>
          </w:p>
        </w:tc>
        <w:tc>
          <w:tcPr>
            <w:tcW w:w="700" w:type="dxa"/>
            <w:tcMar>
              <w:top w:w="0" w:type="dxa"/>
              <w:bottom w:w="0" w:type="dxa"/>
            </w:tcMar>
            <w:vAlign w:val="center"/>
          </w:tcPr>
          <w:p w:rsidR="007C37F0" w:rsidRDefault="00BF0EB0">
            <w:pPr>
              <w:keepNext/>
              <w:keepLines/>
              <w:spacing w:after="0" w:line="240" w:lineRule="auto"/>
              <w:jc w:val="right"/>
            </w:pPr>
            <w:r>
              <w:rPr>
                <w:sz w:val="18"/>
              </w:rPr>
              <w:t>-</w:t>
            </w:r>
          </w:p>
        </w:tc>
      </w:tr>
    </w:tbl>
    <w:p w:rsidR="007C37F0" w:rsidRDefault="007C37F0">
      <w:pPr>
        <w:spacing w:after="0"/>
      </w:pPr>
    </w:p>
    <w:p w:rsidR="007C37F0" w:rsidRDefault="00BF0EB0" w:rsidP="00BA17BC">
      <w:pPr>
        <w:jc w:val="both"/>
      </w:pPr>
      <w:r>
        <w:t>Evidentirane dospjele obveze (V007) iznose 1.617.088,69 eura, a odnose se na međusobne obveze subjekata općeg proračuna (sistematski pregledi, usluge mikrobiologije) u iznosu 9.557,59 eura, obveze za materijalne rashode (uredski materijal, živežne namirnice, lijekovi i potrošni materijal, energija, materijal i dijelovi za tekuće i investicijsko održavanje, sitni inventar, tekuće i investicijsko održavanje, zakupnine i najamnine, komunalne usluge, intelektualne usluge, računalne usluge, promidžba i informiranje, premije osiguranja, članarine, ugovori o djelu) u ukupnom iznosu 603.977,60 eura, na obveze za financijske rashode u iznosu 1.602,73 eura (zatezne kamate prema dobavljačima) te na obveze za nabavu nefinancijske imovine (dodatna ulaganja na građevinskim objektima, postrojenja i oprema, licence) u iznosu 1.001.950,77 eura.</w:t>
      </w:r>
    </w:p>
    <w:p w:rsidR="007C37F0" w:rsidRDefault="007C37F0"/>
    <w:p w:rsidR="007C37F0" w:rsidRDefault="00BF0EB0">
      <w:pPr>
        <w:keepNext/>
        <w:spacing w:line="240" w:lineRule="auto"/>
        <w:jc w:val="center"/>
      </w:pPr>
      <w:r>
        <w:rPr>
          <w:sz w:val="28"/>
        </w:rPr>
        <w:t>Bilješka 93.</w:t>
      </w:r>
    </w:p>
    <w:p w:rsidR="007C37F0" w:rsidRDefault="00BF0EB0" w:rsidP="00164714">
      <w:pPr>
        <w:spacing w:line="240" w:lineRule="auto"/>
        <w:jc w:val="both"/>
      </w:pPr>
      <w:r>
        <w:rPr>
          <w:b/>
        </w:rPr>
        <w:t>EU izvještaj</w:t>
      </w:r>
    </w:p>
    <w:p w:rsidR="007C37F0" w:rsidRDefault="00BF0EB0" w:rsidP="00164714">
      <w:pPr>
        <w:jc w:val="both"/>
      </w:pPr>
      <w:r>
        <w:rPr>
          <w:b/>
          <w:i/>
        </w:rPr>
        <w:t>Obrazloženje - EU izvještaj - 581 Mehanizam za oporavak i otpornost -</w:t>
      </w:r>
      <w:r>
        <w:t>63821 – Kapitalne pomoći temeljem prijenosa EU sredstava - Evidentirano je povećanje u odnosu na prethodnu 2024. godinu za 53.194,87%, odnosno za 8.570.915,09 eura, a odnose se na  kapitalne pomoći iz fondova Europske unije za projekt „Unapređenje kvalitete smještaja i sadržaja hotela Minerva“. U poslovnoj 2024. godini evidentirani su troškovi usluga provođenja javne nabave radova, dok su u poslovnoj 2025. godini evidentirani građevinsko-obrtnički i instalaterski radovi te popratne usluge stručnog nadzora, koordinatora zaštite na radu, voditelja projekta i ostalih popratnih usluga.</w:t>
      </w:r>
    </w:p>
    <w:p w:rsidR="007C37F0" w:rsidRDefault="00BF0EB0" w:rsidP="00BA17BC">
      <w:pPr>
        <w:jc w:val="both"/>
      </w:pPr>
      <w:r>
        <w:lastRenderedPageBreak/>
        <w:t>451 - dodatna ulaganja na građevinskim objektima - evidentirano je povećanje u odnosu na prethodnu 2024. godinu za 79.791,17% ili za 12.864.259,61 eura. U poslovnoj 2025. godini provođenje projekta je u punom zamahu, isporučeno je ukupno 12. privremenih situacija za radove te fakture za popratne usluge.</w:t>
      </w:r>
    </w:p>
    <w:p w:rsidR="007C37F0" w:rsidRDefault="00BF0EB0" w:rsidP="00BA17BC">
      <w:pPr>
        <w:jc w:val="both"/>
      </w:pPr>
      <w:r>
        <w:t>96382 - obračunati prihodi poslovanja - Ukupno obračunati prihodi za projekt iznose 11.549.694,77 eura, odnosno plaćeno je 8.587.057,73 eura te se preostala razlika od 2.962.637,04 eura evidentira na potraživanjima za kapitalne pomoći iz državnog proračuna temeljem prijenosa EU sredstava (16382).</w:t>
      </w:r>
    </w:p>
    <w:p w:rsidR="007C37F0" w:rsidRDefault="00BF0EB0" w:rsidP="00BA17BC">
      <w:pPr>
        <w:jc w:val="both"/>
      </w:pPr>
      <w:r>
        <w:t xml:space="preserve">Na </w:t>
      </w:r>
      <w:proofErr w:type="spellStart"/>
      <w:r>
        <w:t>izvanbilančnim</w:t>
      </w:r>
      <w:proofErr w:type="spellEnd"/>
      <w:r>
        <w:t xml:space="preserve"> zapisima 99171 evidentirana su potraživanja po ugovorima o dodijeljenim bespovratnim sredstvima iz EU fondova na kraju izvještajnog razdoblja u iznosu 8.509.591,18 eura. Iskazanog stanja na prvi dan izvještajnog razdoblja nije bilo. </w:t>
      </w:r>
    </w:p>
    <w:p w:rsidR="007C37F0" w:rsidRDefault="00BF0EB0" w:rsidP="00BA17BC">
      <w:pPr>
        <w:jc w:val="both"/>
      </w:pPr>
      <w:r>
        <w:rPr>
          <w:b/>
          <w:i/>
        </w:rPr>
        <w:t>Obrazloženje EU izvještaja - 561 Europski socijalni fond plus</w:t>
      </w:r>
      <w:r>
        <w:t xml:space="preserve"> - odnosi se na sufinanciranje plaća pripravnika medicinske struke temeljem ugovora s HZZ-om. Evidentirani su prihodi na kontu 63814 i u 2025. godini ostvareno je 47,73% ili 111.241,55 eura manje prihoda nego u izvještajnom razdoblju prethodne godine. Rashodi su evidentirani na plaćama za redovan rad (31111) i na naknadama za prijevoz na posao i s posla (3212). Evidentiranim sredstvima pokriveni su navedeni rashodi u istom iznosu. Za navedeno je u toku godine evidentirani dugovni i potražni promet izvještajnog razdoblja na kontu 96381 u iznosu 121.850,87 eura. Obveze za EU predujmove (27511) dane od institucija i tijela EU stanje na prvi dan izvještajnog razdoblja iznosi 127.654,87 eura, zatvoreno tijekom godine iznos od 129.433,93 eura te stanje na zadnji dan izvještajnog razdoblja iznosi 4.692,14 eura.</w:t>
      </w:r>
    </w:p>
    <w:p w:rsidR="00FD1901" w:rsidRPr="00FD1901" w:rsidRDefault="00FD1901" w:rsidP="00FD1901">
      <w:pPr>
        <w:spacing w:after="0" w:line="240" w:lineRule="auto"/>
        <w:jc w:val="both"/>
        <w:rPr>
          <w:rFonts w:ascii="Calibri" w:eastAsia="Calibri" w:hAnsi="Calibri"/>
          <w:sz w:val="22"/>
          <w:szCs w:val="22"/>
          <w:lang w:eastAsia="en-US"/>
        </w:rPr>
      </w:pPr>
      <w:r w:rsidRPr="00FD1901">
        <w:rPr>
          <w:rFonts w:ascii="Calibri" w:eastAsia="Calibri" w:hAnsi="Calibri"/>
          <w:sz w:val="22"/>
          <w:szCs w:val="22"/>
          <w:lang w:eastAsia="en-US"/>
        </w:rPr>
        <w:t xml:space="preserve">Varaždinske Toplice, </w:t>
      </w:r>
      <w:r>
        <w:rPr>
          <w:rFonts w:ascii="Calibri" w:eastAsia="Calibri" w:hAnsi="Calibri"/>
          <w:sz w:val="22"/>
          <w:szCs w:val="22"/>
          <w:lang w:eastAsia="en-US"/>
        </w:rPr>
        <w:t>30.01.2026</w:t>
      </w:r>
      <w:r w:rsidRPr="00FD1901">
        <w:rPr>
          <w:rFonts w:ascii="Calibri" w:eastAsia="Calibri" w:hAnsi="Calibri"/>
          <w:sz w:val="22"/>
          <w:szCs w:val="22"/>
          <w:lang w:eastAsia="en-US"/>
        </w:rPr>
        <w:t>.</w:t>
      </w:r>
    </w:p>
    <w:p w:rsidR="00FD1901" w:rsidRPr="00FD1901" w:rsidRDefault="00FD1901" w:rsidP="00FD1901">
      <w:pPr>
        <w:spacing w:after="0" w:line="240" w:lineRule="auto"/>
        <w:jc w:val="both"/>
        <w:rPr>
          <w:rFonts w:ascii="Calibri" w:eastAsia="Calibri" w:hAnsi="Calibri"/>
          <w:b/>
          <w:i/>
          <w:sz w:val="22"/>
          <w:szCs w:val="22"/>
          <w:lang w:eastAsia="en-US"/>
        </w:rPr>
      </w:pPr>
      <w:r w:rsidRPr="00FD1901">
        <w:rPr>
          <w:rFonts w:ascii="Calibri" w:eastAsia="Calibri" w:hAnsi="Calibri"/>
          <w:b/>
          <w:i/>
          <w:sz w:val="22"/>
          <w:szCs w:val="22"/>
          <w:lang w:eastAsia="en-US"/>
        </w:rPr>
        <w:t>Broj: 04-231/1-2026.</w:t>
      </w:r>
    </w:p>
    <w:p w:rsidR="00FD1901" w:rsidRPr="00FD1901" w:rsidRDefault="00FD1901" w:rsidP="00FD1901">
      <w:pPr>
        <w:spacing w:after="0" w:line="240" w:lineRule="auto"/>
        <w:jc w:val="both"/>
        <w:rPr>
          <w:rFonts w:ascii="Calibri" w:eastAsia="Calibri" w:hAnsi="Calibri"/>
          <w:i/>
          <w:sz w:val="22"/>
          <w:szCs w:val="22"/>
          <w:u w:val="single"/>
          <w:lang w:eastAsia="en-US"/>
        </w:rPr>
      </w:pPr>
      <w:r w:rsidRPr="00FD1901">
        <w:rPr>
          <w:rFonts w:ascii="Calibri" w:eastAsia="Calibri" w:hAnsi="Calibri"/>
          <w:i/>
          <w:sz w:val="22"/>
          <w:szCs w:val="22"/>
          <w:u w:val="single"/>
          <w:lang w:eastAsia="en-US"/>
        </w:rPr>
        <w:t xml:space="preserve">Osoba za kontakt:  Voditelj odjela </w:t>
      </w:r>
      <w:r w:rsidR="00251B72">
        <w:rPr>
          <w:rFonts w:ascii="Calibri" w:eastAsia="Calibri" w:hAnsi="Calibri"/>
          <w:i/>
          <w:sz w:val="22"/>
          <w:szCs w:val="22"/>
          <w:u w:val="single"/>
          <w:lang w:eastAsia="en-US"/>
        </w:rPr>
        <w:t>ekonomsko-financijskih poslova</w:t>
      </w:r>
      <w:r w:rsidRPr="00FD1901">
        <w:rPr>
          <w:rFonts w:ascii="Calibri" w:eastAsia="Calibri" w:hAnsi="Calibri"/>
          <w:i/>
          <w:sz w:val="22"/>
          <w:szCs w:val="22"/>
          <w:u w:val="single"/>
          <w:lang w:eastAsia="en-US"/>
        </w:rPr>
        <w:t>, 042/63</w:t>
      </w:r>
      <w:r w:rsidR="00251B72">
        <w:rPr>
          <w:rFonts w:ascii="Calibri" w:eastAsia="Calibri" w:hAnsi="Calibri"/>
          <w:i/>
          <w:sz w:val="22"/>
          <w:szCs w:val="22"/>
          <w:u w:val="single"/>
          <w:lang w:eastAsia="en-US"/>
        </w:rPr>
        <w:t>0</w:t>
      </w:r>
      <w:r w:rsidRPr="00FD1901">
        <w:rPr>
          <w:rFonts w:ascii="Calibri" w:eastAsia="Calibri" w:hAnsi="Calibri"/>
          <w:i/>
          <w:sz w:val="22"/>
          <w:szCs w:val="22"/>
          <w:u w:val="single"/>
          <w:lang w:eastAsia="en-US"/>
        </w:rPr>
        <w:t>-384.</w:t>
      </w:r>
    </w:p>
    <w:p w:rsidR="00FD1901" w:rsidRPr="00FD1901" w:rsidRDefault="00FD1901" w:rsidP="00FD1901">
      <w:pPr>
        <w:spacing w:after="0" w:line="240" w:lineRule="auto"/>
        <w:jc w:val="both"/>
        <w:rPr>
          <w:rFonts w:ascii="Calibri" w:eastAsia="Calibri" w:hAnsi="Calibri"/>
          <w:b/>
          <w:i/>
          <w:sz w:val="22"/>
          <w:szCs w:val="22"/>
          <w:u w:val="single"/>
          <w:lang w:eastAsia="en-US"/>
        </w:rPr>
      </w:pPr>
    </w:p>
    <w:p w:rsidR="00FD1901" w:rsidRPr="00FD1901" w:rsidRDefault="00FD1901" w:rsidP="00FD1901">
      <w:pPr>
        <w:spacing w:after="0" w:line="240" w:lineRule="auto"/>
        <w:jc w:val="both"/>
        <w:rPr>
          <w:rFonts w:ascii="Calibri" w:eastAsia="Calibri" w:hAnsi="Calibri"/>
          <w:b/>
          <w:i/>
          <w:sz w:val="22"/>
          <w:szCs w:val="22"/>
          <w:u w:val="single"/>
          <w:lang w:eastAsia="en-US"/>
        </w:rPr>
      </w:pPr>
    </w:p>
    <w:p w:rsidR="00FD1901" w:rsidRPr="00FD1901" w:rsidRDefault="00FD1901" w:rsidP="00FD1901">
      <w:pPr>
        <w:spacing w:after="0" w:line="240" w:lineRule="auto"/>
        <w:jc w:val="both"/>
        <w:rPr>
          <w:rFonts w:ascii="Calibri" w:eastAsia="Calibri" w:hAnsi="Calibri"/>
          <w:b/>
          <w:i/>
          <w:sz w:val="22"/>
          <w:szCs w:val="22"/>
          <w:u w:val="single"/>
          <w:lang w:eastAsia="en-US"/>
        </w:rPr>
      </w:pPr>
      <w:r w:rsidRPr="00FD1901">
        <w:rPr>
          <w:rFonts w:ascii="Calibri" w:eastAsia="Calibri" w:hAnsi="Calibri"/>
          <w:b/>
          <w:i/>
          <w:sz w:val="22"/>
          <w:szCs w:val="22"/>
          <w:u w:val="single"/>
          <w:lang w:eastAsia="en-US"/>
        </w:rPr>
        <w:t xml:space="preserve">                               </w:t>
      </w:r>
    </w:p>
    <w:p w:rsidR="00FD1901" w:rsidRPr="00FD1901" w:rsidRDefault="00FD1901" w:rsidP="00FD1901">
      <w:pPr>
        <w:spacing w:after="0" w:line="276" w:lineRule="auto"/>
        <w:jc w:val="both"/>
        <w:rPr>
          <w:rFonts w:ascii="Calibri" w:eastAsia="Calibri" w:hAnsi="Calibri"/>
          <w:sz w:val="22"/>
          <w:szCs w:val="22"/>
          <w:lang w:eastAsia="en-US"/>
        </w:rPr>
      </w:pPr>
      <w:r w:rsidRPr="00FD1901">
        <w:rPr>
          <w:rFonts w:ascii="Calibri" w:eastAsia="Calibri" w:hAnsi="Calibri"/>
          <w:sz w:val="22"/>
          <w:szCs w:val="22"/>
          <w:lang w:eastAsia="en-US"/>
        </w:rPr>
        <w:t xml:space="preserve">                                                                                                                                                 Ravnatelj:</w:t>
      </w:r>
    </w:p>
    <w:p w:rsidR="00FD1901" w:rsidRPr="00FD1901" w:rsidRDefault="00FD1901" w:rsidP="00FD1901">
      <w:pPr>
        <w:spacing w:after="0" w:line="276" w:lineRule="auto"/>
        <w:jc w:val="both"/>
        <w:rPr>
          <w:rFonts w:ascii="Calibri" w:eastAsia="Calibri" w:hAnsi="Calibri"/>
          <w:sz w:val="22"/>
          <w:szCs w:val="22"/>
          <w:lang w:eastAsia="en-US"/>
        </w:rPr>
      </w:pPr>
      <w:r w:rsidRPr="00FD1901">
        <w:rPr>
          <w:rFonts w:ascii="Calibri" w:eastAsia="Calibri" w:hAnsi="Calibri"/>
          <w:sz w:val="22"/>
          <w:szCs w:val="22"/>
          <w:lang w:eastAsia="en-US"/>
        </w:rPr>
        <w:t xml:space="preserve">                                                                                                                                  Denis Kovačić, dr. med. </w:t>
      </w:r>
      <w:proofErr w:type="spellStart"/>
      <w:r w:rsidRPr="00FD1901">
        <w:rPr>
          <w:rFonts w:ascii="Calibri" w:eastAsia="Calibri" w:hAnsi="Calibri"/>
          <w:sz w:val="22"/>
          <w:szCs w:val="22"/>
          <w:lang w:eastAsia="en-US"/>
        </w:rPr>
        <w:t>spec</w:t>
      </w:r>
      <w:proofErr w:type="spellEnd"/>
      <w:r w:rsidRPr="00FD1901">
        <w:rPr>
          <w:rFonts w:ascii="Calibri" w:eastAsia="Calibri" w:hAnsi="Calibri"/>
          <w:sz w:val="22"/>
          <w:szCs w:val="22"/>
          <w:lang w:eastAsia="en-US"/>
        </w:rPr>
        <w:t>.</w:t>
      </w:r>
    </w:p>
    <w:p w:rsidR="007C37F0" w:rsidRDefault="007C37F0">
      <w:bookmarkStart w:id="0" w:name="_GoBack"/>
      <w:bookmarkEnd w:id="0"/>
    </w:p>
    <w:sectPr w:rsidR="007C3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3DF0"/>
    <w:multiLevelType w:val="hybridMultilevel"/>
    <w:tmpl w:val="DBEEB196"/>
    <w:name w:val="disc"/>
    <w:lvl w:ilvl="0" w:tplc="7884FC8E">
      <w:start w:val="1"/>
      <w:numFmt w:val="bullet"/>
      <w:lvlText w:val="•"/>
      <w:lvlJc w:val="left"/>
      <w:pPr>
        <w:ind w:left="720" w:hanging="360"/>
      </w:pPr>
    </w:lvl>
    <w:lvl w:ilvl="1" w:tplc="7C82EB12">
      <w:start w:val="1"/>
      <w:numFmt w:val="bullet"/>
      <w:lvlText w:val="•"/>
      <w:lvlJc w:val="left"/>
      <w:pPr>
        <w:ind w:left="1440" w:hanging="360"/>
      </w:pPr>
    </w:lvl>
    <w:lvl w:ilvl="2" w:tplc="B194EC7A">
      <w:start w:val="1"/>
      <w:numFmt w:val="bullet"/>
      <w:lvlText w:val="•"/>
      <w:lvlJc w:val="left"/>
      <w:pPr>
        <w:ind w:left="2160" w:hanging="360"/>
      </w:pPr>
    </w:lvl>
    <w:lvl w:ilvl="3" w:tplc="B906BE42">
      <w:start w:val="1"/>
      <w:numFmt w:val="bullet"/>
      <w:lvlText w:val="•"/>
      <w:lvlJc w:val="left"/>
      <w:pPr>
        <w:ind w:left="2880" w:hanging="360"/>
      </w:pPr>
    </w:lvl>
    <w:lvl w:ilvl="4" w:tplc="6F4EA684">
      <w:start w:val="1"/>
      <w:numFmt w:val="bullet"/>
      <w:lvlText w:val="•"/>
      <w:lvlJc w:val="left"/>
      <w:pPr>
        <w:ind w:left="3600" w:hanging="360"/>
      </w:pPr>
    </w:lvl>
    <w:lvl w:ilvl="5" w:tplc="9620C0EE">
      <w:start w:val="1"/>
      <w:numFmt w:val="bullet"/>
      <w:lvlText w:val="•"/>
      <w:lvlJc w:val="left"/>
      <w:pPr>
        <w:ind w:left="4320" w:hanging="360"/>
      </w:pPr>
    </w:lvl>
    <w:lvl w:ilvl="6" w:tplc="E27E7C80">
      <w:start w:val="1"/>
      <w:numFmt w:val="bullet"/>
      <w:lvlText w:val="•"/>
      <w:lvlJc w:val="left"/>
      <w:pPr>
        <w:ind w:left="5040" w:hanging="360"/>
      </w:pPr>
    </w:lvl>
    <w:lvl w:ilvl="7" w:tplc="B4769F9A">
      <w:start w:val="1"/>
      <w:numFmt w:val="bullet"/>
      <w:lvlText w:val="•"/>
      <w:lvlJc w:val="left"/>
      <w:pPr>
        <w:ind w:left="5760" w:hanging="360"/>
      </w:pPr>
    </w:lvl>
    <w:lvl w:ilvl="8" w:tplc="53868BE4">
      <w:start w:val="1"/>
      <w:numFmt w:val="bullet"/>
      <w:lvlText w:val="•"/>
      <w:lvlJc w:val="left"/>
      <w:pPr>
        <w:ind w:left="6480" w:hanging="360"/>
      </w:pPr>
    </w:lvl>
  </w:abstractNum>
  <w:abstractNum w:abstractNumId="1" w15:restartNumberingAfterBreak="0">
    <w:nsid w:val="76404212"/>
    <w:multiLevelType w:val="hybridMultilevel"/>
    <w:tmpl w:val="C65C5DF2"/>
    <w:name w:val="decimal"/>
    <w:lvl w:ilvl="0" w:tplc="867004E6">
      <w:start w:val="1"/>
      <w:numFmt w:val="decimal"/>
      <w:lvlText w:val="%1."/>
      <w:lvlJc w:val="left"/>
      <w:pPr>
        <w:ind w:left="720" w:hanging="360"/>
      </w:pPr>
    </w:lvl>
    <w:lvl w:ilvl="1" w:tplc="4B2C48D4">
      <w:start w:val="1"/>
      <w:numFmt w:val="decimal"/>
      <w:lvlText w:val="%2."/>
      <w:lvlJc w:val="left"/>
      <w:pPr>
        <w:ind w:left="1440" w:hanging="360"/>
      </w:pPr>
    </w:lvl>
    <w:lvl w:ilvl="2" w:tplc="3C6A36E2">
      <w:start w:val="1"/>
      <w:numFmt w:val="decimal"/>
      <w:lvlText w:val="%3."/>
      <w:lvlJc w:val="left"/>
      <w:pPr>
        <w:ind w:left="2160" w:hanging="360"/>
      </w:pPr>
    </w:lvl>
    <w:lvl w:ilvl="3" w:tplc="CE24C004">
      <w:start w:val="1"/>
      <w:numFmt w:val="decimal"/>
      <w:lvlText w:val="%4."/>
      <w:lvlJc w:val="left"/>
      <w:pPr>
        <w:ind w:left="2880" w:hanging="360"/>
      </w:pPr>
    </w:lvl>
    <w:lvl w:ilvl="4" w:tplc="CD501BC4">
      <w:start w:val="1"/>
      <w:numFmt w:val="decimal"/>
      <w:lvlText w:val="%5."/>
      <w:lvlJc w:val="left"/>
      <w:pPr>
        <w:ind w:left="3600" w:hanging="360"/>
      </w:pPr>
    </w:lvl>
    <w:lvl w:ilvl="5" w:tplc="AFD046D6">
      <w:start w:val="1"/>
      <w:numFmt w:val="decimal"/>
      <w:lvlText w:val="%6."/>
      <w:lvlJc w:val="left"/>
      <w:pPr>
        <w:ind w:left="4320" w:hanging="360"/>
      </w:pPr>
    </w:lvl>
    <w:lvl w:ilvl="6" w:tplc="E74A967A">
      <w:start w:val="1"/>
      <w:numFmt w:val="decimal"/>
      <w:lvlText w:val="%7."/>
      <w:lvlJc w:val="left"/>
      <w:pPr>
        <w:ind w:left="5040" w:hanging="360"/>
      </w:pPr>
    </w:lvl>
    <w:lvl w:ilvl="7" w:tplc="4C0A7116">
      <w:start w:val="1"/>
      <w:numFmt w:val="decimal"/>
      <w:lvlText w:val="%8."/>
      <w:lvlJc w:val="left"/>
      <w:pPr>
        <w:ind w:left="5760" w:hanging="360"/>
      </w:pPr>
    </w:lvl>
    <w:lvl w:ilvl="8" w:tplc="F1FE4DA4">
      <w:start w:val="1"/>
      <w:numFmt w:val="decimal"/>
      <w:lvlText w:val="%9."/>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F0"/>
    <w:rsid w:val="00164714"/>
    <w:rsid w:val="00251B72"/>
    <w:rsid w:val="0060621C"/>
    <w:rsid w:val="007C37F0"/>
    <w:rsid w:val="0087420A"/>
    <w:rsid w:val="00BA17BC"/>
    <w:rsid w:val="00BF0EB0"/>
    <w:rsid w:val="00FD19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3B3C6-929D-47C2-9F83-B1935E3E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A6A7-B2B9-4B1E-95B7-92CCD87A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11374</Words>
  <Characters>64837</Characters>
  <Application>Microsoft Office Word</Application>
  <DocSecurity>0</DocSecurity>
  <Lines>540</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Spomenka Sakač</dc:creator>
  <cp:lastModifiedBy>Spomenka Sakač</cp:lastModifiedBy>
  <cp:revision>5</cp:revision>
  <dcterms:created xsi:type="dcterms:W3CDTF">2026-02-02T15:36:00Z</dcterms:created>
  <dcterms:modified xsi:type="dcterms:W3CDTF">2026-02-04T12:55:00Z</dcterms:modified>
</cp:coreProperties>
</file>