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6721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67217" w:rsidRDefault="00AB38D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67217" w:rsidRDefault="00AB38D1">
            <w:pPr>
              <w:spacing w:after="0" w:line="240" w:lineRule="auto"/>
            </w:pPr>
            <w:r>
              <w:t>40746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67217" w:rsidRDefault="00AB38D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67217" w:rsidRDefault="00AB38D1">
            <w:pPr>
              <w:spacing w:after="0" w:line="240" w:lineRule="auto"/>
            </w:pPr>
            <w:r>
              <w:t>SPECIJALNA BOLNICA ZA MEDICINSKU REHABILITACIJU VARAŽDINSKE TOPLICE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67217" w:rsidRDefault="00AB38D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67217" w:rsidRDefault="00AB38D1">
            <w:pPr>
              <w:spacing w:after="0" w:line="240" w:lineRule="auto"/>
            </w:pPr>
            <w:r>
              <w:t>31</w:t>
            </w:r>
          </w:p>
        </w:tc>
      </w:tr>
    </w:tbl>
    <w:p w:rsidR="00D67217" w:rsidRDefault="00AB38D1">
      <w:r>
        <w:br/>
      </w:r>
    </w:p>
    <w:p w:rsidR="00D67217" w:rsidRDefault="00AB38D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67217" w:rsidRDefault="00AB38D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67217" w:rsidRDefault="00AB38D1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19.763.932,90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22.742.404,53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</w:t>
            </w:r>
            <w:r>
              <w:rPr>
                <w:sz w:val="18"/>
              </w:rPr>
              <w:t>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18.727.048,25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17.747.732,76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D6721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1.036.884,65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4.994.671,77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481,7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</w:t>
            </w:r>
            <w:r>
              <w:rPr>
                <w:sz w:val="18"/>
              </w:rPr>
              <w:t xml:space="preserve">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1.201.852,64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7.739.306,90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643,9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D6721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1.201.756,56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7.739.306,90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644,0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</w:t>
            </w:r>
            <w:r>
              <w:rPr>
                <w:sz w:val="18"/>
              </w:rPr>
              <w:t>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1.084.841,73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982.330,29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90,6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D6721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1.084.841,73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982.330,29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90,6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D6721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1.249.713,64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3.726.965,42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298,2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U razdoblju od 1. siječnja do 30. rujna 2025. godine prihodi poslovanja ostvareni su u iznosu od 22.742.404,53 eura. Najznačajnije povećanje prihoda ostvareno je od kapitalnih pomoći temeljem prijenosa EU sredstava za </w:t>
      </w:r>
      <w:r>
        <w:t>financiranje projekta "Unapređenje kvalitete smještaja i sadržaja hotela Minerva". Najznačajnije smanjenje prihoda bilježi se na prihodima od prodaje proizvoda i robe te pruženih usluga, kao i prihodima od donacija, što je usko povezano sa zatvorenošću obj</w:t>
      </w:r>
      <w:r>
        <w:t xml:space="preserve">ekta Minerva zbog provođenja navedenog projekta. Rashodi poslovanja u </w:t>
      </w:r>
      <w:r>
        <w:lastRenderedPageBreak/>
        <w:t>istom razdoblju ostvareni su u iznosu od 17.747.732,76 eura. Najznačajnije povećanje rashoda evidentirano je na rashodima za zaposlene uslijed povećanja plaća, dok je najznačajnije smanj</w:t>
      </w:r>
      <w:r>
        <w:t xml:space="preserve">enje rashoda zabilježeno u ostalim nespomenutim rashodima zbog smanjenja troškova provizija </w:t>
      </w:r>
      <w:proofErr w:type="spellStart"/>
      <w:r>
        <w:t>kartičarskih</w:t>
      </w:r>
      <w:proofErr w:type="spellEnd"/>
      <w:r>
        <w:t xml:space="preserve"> kuća budući da trenutno nema naplate u objektu Minerva, nižih troškova naknada za korištenje voda, naknada za zaštitu voda te komunalne naknade budući </w:t>
      </w:r>
      <w:r>
        <w:t>da je Grad Varaždinske Toplice donio Odluku o oslobađanju plaćanja komunalne naknade za 2025. godinu. U navedenom razdoblju nisu ostvareni prihodi od prodaje nefinancijske imovine, dok su rashodi za nabavu nefinancijske imovine ostvareni u iznosu od 7.739.</w:t>
      </w:r>
      <w:r>
        <w:t>306,90 eura. Najznačajnije povećanje rashoda evidentirano je na dodatnim ulaganjima u građevinske objekte, a odnosi se na rashode po projektu "Unapređenje kvalitete smještaja i sadržaja hotela Minerva", dok je najznačajnije smanjenje rashoda zabilježeno na</w:t>
      </w:r>
      <w:r>
        <w:t xml:space="preserve"> nabavi proizvedene dugotrajne imovine zbog odluke uprave da se zbog racionalizacije poslovanja nabavlja samo nužna i neophodna oprema za nesmetano odvijanje radnih procesa. U razdoblju od 1. siječnja do 30. rujna 2025. godine nisu ostvareni primitci od fi</w:t>
      </w:r>
      <w:r>
        <w:t>nancijske imovine i zaduživanja, dok su izdaci za financijsku imovinu i otplate zajmova ostvareni u iznosu od 982.330,29 eura. Smanjenje je evidentirano na otplati glavnice primljenih kredita i zajmova od ostalih financijskih institucija izvan javnog sekto</w:t>
      </w:r>
      <w:r>
        <w:t xml:space="preserve">ra, a odnosi se na manji iznos otplate kratkoročnog kredita </w:t>
      </w:r>
      <w:proofErr w:type="spellStart"/>
      <w:r>
        <w:t>cash</w:t>
      </w:r>
      <w:proofErr w:type="spellEnd"/>
      <w:r>
        <w:t xml:space="preserve"> </w:t>
      </w:r>
      <w:proofErr w:type="spellStart"/>
      <w:r>
        <w:t>poola</w:t>
      </w:r>
      <w:proofErr w:type="spellEnd"/>
      <w:r>
        <w:t xml:space="preserve"> zbog manjeg korištenja. U istom razdoblju ostvaren je višak prihoda poslovanja u iznosu od 4.994.671,77 eura, manjak prihoda od nefinancijske imovine u iznosu od 7.739.306,90 eura te ma</w:t>
      </w:r>
      <w:r>
        <w:t>njak primitaka od financijske imovine i zaduživanja u iznosu od 982.330,29 eura, što rezultira ukupnim manjkom prihoda i primitaka na kraju izvještajnog razdoblja u iznosu od 3.726.965,42 eura. Navedeni manjak prihoda usko je povezan sa zatvorenošću objekt</w:t>
      </w:r>
      <w:r>
        <w:t>a Minerva zbog provođenja projekta "Unapređenje kvalitete smještaja i sadržaja hotela Minerva", uslijed čega je izgubljen značajan dio tržišnog prihoda u iznosu od oko 1.800.000,00 eura, te nije ostvareno izvršenje limita zbog manjka smještajnih kapaciteta</w:t>
      </w:r>
      <w:r>
        <w:t xml:space="preserve"> u iznosu od 2.128.529,33 eura - iznos nije evidentiran na prihodovnoj strani, već na obvezi za manje izvršen rad. Da su poslovni uvjeti bili normalni, rezultat razdoblja bio bi pozitivan.</w:t>
      </w:r>
    </w:p>
    <w:p w:rsidR="00D67217" w:rsidRDefault="00AB38D1">
      <w:r>
        <w:br/>
      </w:r>
    </w:p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351.508,13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6.312.862,97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1795,9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U razdoblju </w:t>
      </w:r>
      <w:r>
        <w:t>siječanj-rujan poslovne 2025. godine ostvarene su pomoći u ukupnom iznosu od 6.312.862,97 eura, što predstavlja povećanje od 1.695,90% odnosno 5.961.354,84 eura u usporedbi s istim razdobljem prethodne, 2024. godine. U poslovnoj 2025. godini zabilježeno je</w:t>
      </w:r>
      <w:r>
        <w:t xml:space="preserve"> smanjenje sredstava dobivenih od Hrvatskog zavoda za zapošljavanje i Fondova EU za financiranje plaća pripravnika medicinske struke, dobiveno je manje pomoći iz proračuna koji nam nije nadležan te je evidentirano povećanje sredstava iz fondova Europske un</w:t>
      </w:r>
      <w:r>
        <w:t>ije za sufinanciranje troškova projekta Unapređenje kvalitete smještaja i sadržaja hotela Minerva.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</w:t>
            </w:r>
            <w:r>
              <w:rPr>
                <w:b/>
                <w:sz w:val="18"/>
              </w:rPr>
              <w:t>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26.321,75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16.245,92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61,7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Evidentirano smanjenje za 38,30% ili za 10.075,83 eura u odnosu na isto razdoblje prethodne godine. U poslovnoj 2025. godini dobiveno je manje pomoći </w:t>
      </w:r>
      <w:r>
        <w:t>Hrvatskog zavoda za zapošljavanje za financiranje plaća pripravnika zdravstvene struke – manje pripravnika čije su plaće financirane iz navedenog izvora. Također, bitno je napomenuti da je većina pripravnika zdravstvene struke u mjesecu kolovozu završila s</w:t>
      </w:r>
      <w:r>
        <w:t xml:space="preserve"> pripravništvom, trenutno pripravništvo odrađuju još samo tri osobe koje zbog </w:t>
      </w:r>
      <w:proofErr w:type="spellStart"/>
      <w:r>
        <w:t>rodiljnog</w:t>
      </w:r>
      <w:proofErr w:type="spellEnd"/>
      <w:r>
        <w:t xml:space="preserve"> dopusta ili bolovanja nisu mogle završiti u roku, te jedne pripravnice koja je s pripravništvom počela kasnije i ista bi trebala odraditi do konca studenog mjeseca. U i</w:t>
      </w:r>
      <w:r>
        <w:t>stom razdoblju prethodne godine imali smo evidentirani prihod od kapitalnih pomoći Fonda za zaštitu okoliša i energetsku učinkovitost u iznosu 19.320,00 eura za nabavu Aerobnog digestora za zbrinjavanje bio otpada.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107.747,50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90.734,24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84,2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>Evidentirano</w:t>
      </w:r>
      <w:r>
        <w:t xml:space="preserve"> je smanjenje za 15,80%, odnosno za 17.013,26 eura u odnosu na isto razdoblje prethodne godine. U poslovnoj godini ostvareni su veći prihodi po osnovi dežurstava liječnice na specijalizaciji, kao i veći prihodi od pomoći Ministarstva zdravstva za podmirenj</w:t>
      </w:r>
      <w:r>
        <w:t>e dospjelih obveza prema dobavljačima lijekova i potrošnog medicinskog materijala. Najveći razlog smanjenja u odnosu na isto razdoblje prethodne godine jest činjenica da je u poslovnoj 2024. godini ostvarena pomoć Ministarstva zdravstva temeljem sklopljeno</w:t>
      </w:r>
      <w:r>
        <w:t>g Ugovora o dodjeli potpore male vrijednosti za projekt „Unaprjeđenje i podizanje kvalitete pružanja zdravstvenih usluga u zdravstvenom turizmu u Specijalnoj bolnici Varaždinske Toplice“ u iznosu od 27.823,25 eura, namijenjenu nabavi medicinske opreme (apa</w:t>
      </w:r>
      <w:r>
        <w:t xml:space="preserve">rati za limfnu drenažu, </w:t>
      </w:r>
      <w:proofErr w:type="spellStart"/>
      <w:r>
        <w:t>stabilometrijska</w:t>
      </w:r>
      <w:proofErr w:type="spellEnd"/>
      <w:r>
        <w:t xml:space="preserve"> platforma te multifunkcionalni aparat za elektroterapiju s ultrazvukom).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217.438,88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6.205.882,81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2854,1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Evidentirano povećanje za 2.754,10% ili za 5.988.443,93 eura u odnosu na isto razdoblje prethodne godine. Na Tekućim pomoćima temeljem </w:t>
      </w:r>
      <w:r>
        <w:t xml:space="preserve">prijenosa EU sredstava evidentirano smanjenje za 42,30% ili za 86.550,64 eura, a odnosi se na sredstva za financiranje plaća </w:t>
      </w:r>
      <w:r>
        <w:lastRenderedPageBreak/>
        <w:t>pripravnika medicinske struke (prethodne godine bilo više pripravnika kojima je plaća financirana iz navedenog izvora). Pripravništ</w:t>
      </w:r>
      <w:r>
        <w:t>vo je u poslovnoj godini završilo za većinu pripravnika krajem mjeseca kolovoza, ostale su još dvije pripravnice koje pripravništvo završavaju do kraja godine – kasnije počele raditi.  Na Kapitalnim pomoćima temeljem prijenosa EU sredstava  evidentirano je</w:t>
      </w:r>
      <w:r>
        <w:t xml:space="preserve"> povećanje za 47.842,92% ili za 6.074.994,57 eura u odnosu na isto razdoblje prethodne godine. Povećanje se odnosi na sredstva iz Fondova EU za sufinanciranje projekta „Unapređenje kvalitete smještaja i sadržaja hotela Minerva“.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2.268,59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163,0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>Ostvareni u iznosu 3.696.81 eura,</w:t>
      </w:r>
      <w:r>
        <w:t xml:space="preserve"> veći su u odnosu na isto razdoblje prethodne godine za 63,00 % ili za 1.428,22 eura. Na poziciji 6413 – kamate na oročena sredstva i depozite po viđenju - naplaćen je veći iznos na ime kamata po žiro računima za 45,6% ili za 933,35 eura  (Bolnica koristi </w:t>
      </w:r>
      <w:r>
        <w:t xml:space="preserve">odobreni Cash </w:t>
      </w:r>
      <w:proofErr w:type="spellStart"/>
      <w:r>
        <w:t>pool</w:t>
      </w:r>
      <w:proofErr w:type="spellEnd"/>
      <w:r>
        <w:t xml:space="preserve"> u manjem iznosu nego prethodne godine, te je prihod na ime kamata stoga veći), na poziciji 6414 – prihodi od zateznih kamata -  evidentirano manje naplaćenih prihoda na ime kamata po sudskim sporovima za 39,70% ili za 88,35 eura, dok je </w:t>
      </w:r>
      <w:r>
        <w:t>na poziciji 6416 – prihodi od dividendi evidentiran iznos od 583,22 eura, prethodne godine nismo imali prihoda od dividendi.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2.492.889,03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2.086.816,00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83,7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Ostvareni su u iznosu od 2.086.816,00 eura, što je smanjenje od </w:t>
      </w:r>
      <w:r>
        <w:t>16,30%, odnosno za 406.073,03 eura u odnosu na isto razdoblje prethodne, 2024. godine. Razlog smanjenja jest zatvorenost objekta Minerva zbog provedbe projekta „Unaprjeđenje kvalitete smještaja i sadržaja hotela Minerva“, uslijed čega su smanjeni smještajn</w:t>
      </w:r>
      <w:r>
        <w:t>i kapaciteti, što je dovelo do manjeg broja korisnika na liječenju, te posljedično manjih prihoda od dopunskog osiguranja i participacija. Također, evidentirano je smanjenje prihoda od naplaćenih šteta za 49,71%, što je izravno povezano sa zatvorenošću obj</w:t>
      </w:r>
      <w:r>
        <w:t>ekta – zbog izostanka poslovnih aktivnosti u objektu nije bilo kvarova na uređajima, pa je i smanjenje prihoda proporcionalno zatvorenosti cijelog objekta.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4.293.327,73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2.538.097,63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59,1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Ostvareni su u iznosu </w:t>
      </w:r>
      <w:r>
        <w:t>2.538.097,63 eura i manji su za 40,90% ili za 1.755.230,10  eura u odnosu na isto razdoblje prethodne godine. Ostvareno je manje tržišnih prihoda zbog zatvorenog objekta Minerva zbog provedbe projekta "Unapređenje kvalitete smještaja i sadržaja hotela Mine</w:t>
      </w:r>
      <w:r>
        <w:t>rva" te je dobiveno manje donacija.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</w:t>
            </w:r>
            <w:r>
              <w:rPr>
                <w:sz w:val="18"/>
              </w:rPr>
              <w:t>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4.255.953,48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2.516.817,58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59,1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Evidentirano je smanjenje od 40,90%, odnosno za 1.739.135,90 eura. Glavni razlog navedenog smanjenja jest činjenica da je objekt Minerva bio zatvoren od 28. veljače tekuće poslovne godine zbog </w:t>
      </w:r>
      <w:r>
        <w:t>izvođenja radova na projektu „Unapređenje kvalitete smještaja i sadržaja hotela Minerva“. Zatvaranje objekta izravno je utjecalo na smanjenje prihoda u promatranom razdoblju. U prethodnoj poslovnoj godini navedeni je objekt poslovao tijekom cijele godine.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Donacije od pravnih i fizičkih osoba izvan općeg proračuna te povrat donacija i </w:t>
            </w:r>
            <w:r>
              <w:rPr>
                <w:sz w:val="18"/>
              </w:rPr>
              <w:t>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37.374,25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21.280,05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56,9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>Evidentiran je iznos od 21.280,05 eura, što je za 43,10% odnosno 16.094,20 eura manje u odnosu na isto razdoblje prethodne godine. Iznos se odnosi na primljene</w:t>
      </w:r>
      <w:r>
        <w:t xml:space="preserve"> donacije trgovačkih društava za pokriće troškova stručnih edukacija radnika bolnice (sudjelovanja na kongresima, seminarima i tečajevima) u iznosu od 7.500,00 eura, te na primljene donacije za potrošni medicinski materijal u iznosu od 13.780,05 eura.  U i</w:t>
      </w:r>
      <w:r>
        <w:t>stom razdoblju prethodne godine evidentirane su donacije u većem ukupnom iznosu, i to: donacija analizatora vrijednosti od 18.750,00 eura, donacija bicikla u iznosu od 998,75 eura, donacija potrošnog materijala u iznosu od 9.175,50 eura, te donacije trgova</w:t>
      </w:r>
      <w:r>
        <w:t>čkih društava za pokriće troškova stručnih edukacija radnika bolnice u iznosu od 8.450,00 eura.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12.620.562,54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11.800.391,86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93,5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Ostvareni su u ukupnom iznosu od 11.800.391,86 eura, manji su u odnosu na isto razdoblje prethodne 2024. godine za 6,50% </w:t>
      </w:r>
      <w:r>
        <w:t>ili za 820.170,68 eura.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redovne </w:t>
            </w:r>
            <w:r>
              <w:rPr>
                <w:sz w:val="18"/>
              </w:rPr>
              <w:t>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1.013.394,85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687.972,00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67,9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>Evidentirano manje naplaćenih prihoda za 32,10% ili za 325.422,85 eura iz razloga što smo u prethodnoj godini uz prihod iz decentralizacije evidentirali  i sredstava</w:t>
      </w:r>
      <w:r>
        <w:t xml:space="preserve"> iznad zakonskog standarda, odnosno iz Županijskog proračuna </w:t>
      </w:r>
      <w:proofErr w:type="spellStart"/>
      <w:r>
        <w:t>oprihodovali</w:t>
      </w:r>
      <w:proofErr w:type="spellEnd"/>
      <w:r>
        <w:t xml:space="preserve"> dodatna sredstva za nabavu Robotskog uređaja s programskim paketom za rehabilitaciju donjih ekstremiteta odraslih osoba i djece, dok u poslovnoj godini imamo evidentirana samo sredst</w:t>
      </w:r>
      <w:r>
        <w:t>va iz decentralizacije.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11.607.167,69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11.112.419,86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95,7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Prihodi su u promatranom razdoblju manji za 4,30% odnosno za 494.747,83 eura u odnosu na isto razdoblje 2024. godine. Navedeno smanjenje prvenstveno je rezultat manjeg izvršenja dodijeljenih limitiranih sredstava u poslovnoj 2025. </w:t>
      </w:r>
      <w:r>
        <w:t>godini. Budući da se limiti evidentiraju na prihodovnoj strani prema razini izvršenja, neizvršeni iznos iskazuje se kao obveza za neizvršeni rad prema HZZO-u. Razlog smanjenog izvršenja limita je zatvaranje objekta Minerva s danom 28. veljače 2025. godine,</w:t>
      </w:r>
      <w:r>
        <w:t xml:space="preserve"> što je zbog manjka smještajnih kapaciteta imalo izravan negativan utjecaj na ukupno izvršenje.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3.376,88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16,0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>Evidentirano smanjenje za 84,00% ili za 2.837,62 eura. Evidentirano je manje prihoda od popusta i rabata od trgovačkih društva.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11.227.470,47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11.624.835,74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Ukupni troškovi u poslovnoj 2025. godini iznose </w:t>
      </w:r>
      <w:r>
        <w:t xml:space="preserve">11.624.835,74 eura, što predstavlja povećanje od 3,50 %, odnosno 397.365,27 eura u odnosu na isto razdoblje prethodne, 2024. godine. Povećanje ukupnih troškova prvenstveno je rezultat rasta koeficijenata za sva radna mjesta, s primjenom od 1. ožujka 2024. </w:t>
      </w:r>
      <w:r>
        <w:t>godine,  rasta osnovice za obračun plaće s primjenom od 01.02.2025. godine, kao i promjena u broju i strukturi zaposlenih. Unatoč porastu troškova, u 2025. godini zabilježen je pad ukupnog broja zaposlenih. Naime, na isti dan 2024. godine bilo je zaposleno</w:t>
      </w:r>
      <w:r>
        <w:t xml:space="preserve"> 685 djelatnika, dok je u 2025. godini taj broj smanjen na 648, što predstavlja smanjenje za 37 zaposlenih. S obzirom na navedene okolnosti, usporedba troškova plaća s istim razdobljem prethodne godine nije u potpunosti reprezentativna, budući da je poveća</w:t>
      </w:r>
      <w:r>
        <w:t>nje mase plaća najvećim dijelom posljedica rasta koeficijenata, dok je istovremeno zabilježeno smanjenje broja zaposlenih. Također, evidentirano je smanjenje troškova prekovremenog rada za 9,6% u odnosu na isto razdoblje prethodne godine.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436.492,63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423.023,88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96,9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Ukupni troškovi u promatranom razdoblju </w:t>
      </w:r>
      <w:r>
        <w:t>iznose 423.023,88 eura, što predstavlja smanjenje od 3,10% u odnosu na isto razdoblje prethodne, 2024. godine.  Smanjenje ukupnih troškova prvenstveno je rezultat manjeg broja zaposlenih, što se odrazilo na većinu stavki koje se odnose na prava iz radnog o</w:t>
      </w:r>
      <w:r>
        <w:t xml:space="preserve">dnosa. Unatoč ukupnom padu, u poslovnoj 2025. godini zabilježen je porast izdataka za jubilarne nagrade te izdataka za otpremnine.  S druge strane, na stavkama poput </w:t>
      </w:r>
      <w:proofErr w:type="spellStart"/>
      <w:r>
        <w:t>uskrsnica</w:t>
      </w:r>
      <w:proofErr w:type="spellEnd"/>
      <w:r>
        <w:t>, pomoći u slučaju bolesti ili smrti, bolovanja dužeg od 90 dana te regresa za go</w:t>
      </w:r>
      <w:r>
        <w:t>dišnji odmor, evidentirano je smanjenje izdataka u odnosu na prethodnu godinu, što je izravno povezano s manjim brojem zaposlenih.  Ovakva kretanja ukazuju na promjene u broju i strukturi radne snage, što se posljedično odrazilo na ukupnu razinu troškova.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1.664.146,66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1.729.949,47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Rashodi </w:t>
      </w:r>
      <w:r>
        <w:t>ostvareni u iznosu 1.729.949,47 eura veći su za 4,00% ili za 65.802,81 eura u odnosu na isto razdoblje prethodne godine – posljedično prati rast bruto plaća, a isplaćeni su sukladno važećim Zakonskim propisima.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644.424,70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587.328,46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91,1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Ukupni troškovi u poslovnoj 2025. godini </w:t>
      </w:r>
      <w:r>
        <w:t>ostvareni su u iznosu od 587.328,46 eura, što predstavlja smanjenje od 8,90%, odnosno 57.096,24 eura u odnosu na isto razdoblje prethodne godine. Ovo smanjenje ponajprije je rezultat manjeg broja službenih putovanja zaposlenika za 80,40%, kao i smanjenih n</w:t>
      </w:r>
      <w:r>
        <w:t xml:space="preserve">aknada za prijevoz na posao i s posla za 6,20%, što je izravno povezano s padom broja zaposlenih. Također, u usporedbi s prethodnom godinom, povećan je broj stručnih usavršavanja, što je povezano s plaćanjem školarina za specijalistički i poslijediplomski </w:t>
      </w:r>
      <w:r>
        <w:t>studij za liječnike. Navedena racionalizacija troškova provedena je u skladu s odlukom Uprave bolnice da se, zbog izvođenja radova na projektu „Unapređenje kvalitete smještaja i sadržaja hotela Minerva“ te očekivanog pada prihoda tijekom radova, svi operat</w:t>
      </w:r>
      <w:r>
        <w:t>ivni izdaci svedu na minimalnu razinu.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materijal i energiju (šifre 3221 do </w:t>
            </w:r>
            <w:r>
              <w:rPr>
                <w:sz w:val="18"/>
              </w:rPr>
              <w:t>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2.621.173,65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1.415.181,57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54,0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Ukupni troškovi u promatranom razdoblju iznose 1.415.181,57 eura, što predstavlja smanjenje od 46,00%, odnosno 1.205.992,08 eura u odnosu na isto razdoblje prethodne, 2024. godine. Smanjenje ukupnih troškova </w:t>
      </w:r>
      <w:r>
        <w:t>rezultat je nižih izdataka za materijal i sirovine, što je izravna posljedica iskazivanja troškova lijekova i potrošnog medicinskog materijala u poslovnoj 2024. godini u skupini konta 322 (dok se u 2025. godini isti troškovi iskazuju u skupini 325), te zat</w:t>
      </w:r>
      <w:r>
        <w:t xml:space="preserve">varanja objekta Minerva s danom 28. veljače 2025. godine. Budući da tijekom promatranog razdoblja nije bilo korisnika smještajnih usluga u navedenom objektu, troškovi živežnih namirnica, kao i nabavne vrijednosti robe za trgovine, znatno su smanjeni. Osim </w:t>
      </w:r>
      <w:r>
        <w:t xml:space="preserve">toga, zabilježeni su i niži troškovi za energiju, sitni inventar te materijal za tekuće i investicijsko </w:t>
      </w:r>
      <w:r>
        <w:lastRenderedPageBreak/>
        <w:t>održavanje, što je dodatno doprinijelo ukupnom smanjenju troškova u ovoj kategoriji, a svi su navedeni izdaci povezani sa zatvaranjem objekta Minerva. O</w:t>
      </w:r>
      <w:r>
        <w:t>vakva kretanja potvrđuju učinak privremenog zatvaranja objekta na operativne troškove te odražavaju ciljano upravljanje resursima u uvjetima smanjene poslovne aktivnosti.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1.660.323,82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1.304.254,89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78,6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Ukupni troškovi u promatranom razdoblju iznose 1.304.254,89 eura, što predstavlja smanjenje od </w:t>
      </w:r>
      <w:r>
        <w:t>21,40%, odnosno 356.068,93 eura u odnosu na isto razdoblje prethodne, 2024. godine. Smanjenje troškova ponajprije je evidentirano na stavkama koje se odnose na usluge tekućeg i investicijskog održavanja (smanjenje za 24,90%), usluge promidžbe i informiranj</w:t>
      </w:r>
      <w:r>
        <w:t>a (33,90%), komunalne usluge (28,60%) te intelektualne i osobne usluge (38,30%). S druge strane, porast troškova zabilježen je kod zdravstvenih i veterinarskih usluga (povećanje od 2,30%), kao i kod zakupnina i najamnina, gdje je zabilježen rast od čak 464</w:t>
      </w:r>
      <w:r>
        <w:t>,10%. Ovo povećanje odnosi se na plaćanje najamnine za poslovni prostor u Medicinskoj školi, gdje je – zbog zatvaranja hotela Minerva – otvorena školska kantina. Također, povećanje je zabilježeno i kod ostalih usluga (telefonske, poštanske, prijevozne i ra</w:t>
      </w:r>
      <w:r>
        <w:t>čunalne usluge), koje bilježe rast od 39,10%. Povećanje se prvenstveno odnosi na usluge tjelesne zaštite, budući da je cijena sata rada značajno viša nego u istom razdoblju prethodne godine. Ukupno gledano, smanjenje ukupnih rashoda za usluge rezultat je u</w:t>
      </w:r>
      <w:r>
        <w:t>ravnoteženja između racionalizacije pojedinih usluga i porasta troškova u drugim kategorijama, što odražava prilagodbu poslovanja aktualnim potrebama i tržišnim uvjetima.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lijekova i potrošnog medicinskog materijala kod zdravstvenih ustanova (šifre 3251 do 3254)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392.438,67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>Ukupni troškovi za lijekove i potrošni medicinski</w:t>
      </w:r>
      <w:r>
        <w:t xml:space="preserve"> materijal u poslovnoj 2025. godini iznose 392.438,67 eura. U prethodnoj, 2024. godini, ovi su rashodi bili iskazani unutar skupine konta 322, dok je primjenom novog Pravilnika uvedena posebna skupina konta 325 za praćenje troškova lijekova i potrošnog med</w:t>
      </w:r>
      <w:r>
        <w:t>icinskog materijala, čime je omogućena preciznija evidencija i detaljnija analiza troškova. Analizom ukupnih troškova za lijekove i potrošni medicinski materijal u istom razdoblju prethodne godine, kada su iznosili 421.798,74 eura, utvrđeno je smanjenje od</w:t>
      </w:r>
      <w:r>
        <w:t xml:space="preserve"> 6,97%, odnosno 29.360,07 eura. Ovaj blagi pad prvenstveno se može pripisati provedbi sustava kontrole i racionalizacije potrošnje lijekova i materijala, koji uključuje bolju evidenciju zaliha, nadzor korištenja te standardizaciju terapijskih protokola, či</w:t>
      </w:r>
      <w:r>
        <w:t>me se izbjegava nepotrebna ili prekomjerna primjena lijekova i potrošnog materijala.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354.883,02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168.539,96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47,5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Ukupni troškovi u ovoj kategoriji bilježe smanjenje u odnosu na isto razdoblje prethodne godine za 52,50%, odnosno za 186.343,06 eura. Najveće smanjenje </w:t>
      </w:r>
      <w:r>
        <w:t>evidentirano je na sljedećim stavkama: troškovi reprezentacije, koji su manji za 31,30%, što se ponajprije odnosi na smanjeno ugošćavanje poslovnih partnera, naknade za rad članova Upravnog vijeća, koje bilježe pad od 15,00%, a razlog je neimenovanje preds</w:t>
      </w:r>
      <w:r>
        <w:t>tavnika Ministarstva zdravstva (imenovanje je provedeno u lipnju 2025. godine), troškovi sudskih postupaka, koji ove godine nisu evidentirani, dok je prethodne godine plaćena naknada za privremenog zastupnika u jednom sudskom predmetu, ostali nespomenuti r</w:t>
      </w:r>
      <w:r>
        <w:t xml:space="preserve">ashodi poslovanja, koji su manji za 65,40%, a odnose se na rashode poput cvjećarskih usluga, komunalne naknade, naknade za uređenje i korištenje voda te provizije </w:t>
      </w:r>
      <w:proofErr w:type="spellStart"/>
      <w:r>
        <w:t>kartičarskim</w:t>
      </w:r>
      <w:proofErr w:type="spellEnd"/>
      <w:r>
        <w:t xml:space="preserve"> kućama, članarine i norme, koje su manje za 11,10%. Blago povećanje evidentirano</w:t>
      </w:r>
      <w:r>
        <w:t xml:space="preserve"> je kod raznih pristojbi i naknada (0,30%) te kod premija osiguranja (54,30%) zbog osiguranja nove imovine – Nacionalnog rehabilitacijskog centra za osobe s bolestima i oštećenjima </w:t>
      </w:r>
      <w:proofErr w:type="spellStart"/>
      <w:r>
        <w:t>kralježnične</w:t>
      </w:r>
      <w:proofErr w:type="spellEnd"/>
      <w:r>
        <w:t xml:space="preserve"> moždine. Smanjenje navedenih troškova rezultat je dvaju ključn</w:t>
      </w:r>
      <w:r>
        <w:t xml:space="preserve">ih čimbenika: djelomično proizlazi iz odluke Uprave o racionalizaciji poslovanja, kojom se odobravaju isključivo nužne i neophodne nabavke, a djelomično iz činjenice da je objekt Minerva zatvoren zbog radova na unaprjeđenju kvalitete smještaja i sadržaja. </w:t>
      </w:r>
      <w:r>
        <w:t xml:space="preserve">Zbog toga su, primjerice, znatno smanjeni troškovi provizija </w:t>
      </w:r>
      <w:proofErr w:type="spellStart"/>
      <w:r>
        <w:t>kartičarskim</w:t>
      </w:r>
      <w:proofErr w:type="spellEnd"/>
      <w:r>
        <w:t xml:space="preserve"> kućama, budući da u objektu nije bilo naplate usluga, kao i troškovi naknada za korištenje i zaštitu voda te komunalna naknada, s obzirom na to da je Grad Varaždinske Toplice donio o</w:t>
      </w:r>
      <w:r>
        <w:t>dluku o oslobađanju plaćanja komunalne naknade za 2025. godinu.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Kamate za primljene </w:t>
            </w:r>
            <w:r>
              <w:rPr>
                <w:sz w:val="18"/>
              </w:rPr>
              <w:t>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80.367,07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70.877,07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88,2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Ukupni troškovi iznose 70.877,07 eura, što predstavlja smanjenje od 11,80% ili 9.490,00 eura u odnosu na isto razdoblje prethodne 2024. godine. Ovo smanjenje prvenstveno se odnosi na </w:t>
      </w:r>
      <w:r>
        <w:t xml:space="preserve">redovne kamate po okvirnom Cash </w:t>
      </w:r>
      <w:proofErr w:type="spellStart"/>
      <w:r>
        <w:t>pool</w:t>
      </w:r>
      <w:proofErr w:type="spellEnd"/>
      <w:r>
        <w:t xml:space="preserve"> kreditu i investicijskim kreditima kod Zagrebačke banke i HBOR-a. Smanjenje je rezultat otplate glavnice, što je proporcionalno dovelo do nižih kamata, kao i manjeg korištenja okvirnog Cash </w:t>
      </w:r>
      <w:proofErr w:type="spellStart"/>
      <w:r>
        <w:t>pool</w:t>
      </w:r>
      <w:proofErr w:type="spellEnd"/>
      <w:r>
        <w:t xml:space="preserve"> kredita, što je dodatno </w:t>
      </w:r>
      <w:r>
        <w:t>utjecalo na smanjenje kamatnih troškova.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financijski rashodi (šifre 3431 do </w:t>
            </w:r>
            <w:r>
              <w:rPr>
                <w:sz w:val="18"/>
              </w:rPr>
              <w:t>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35.257,66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28.887,39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81,9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U odnosu na isto razdoblje prethodne, 2024. godine, ukupni troškovi bilježe smanjenje od 18,10 %, odnosno 6.370,27 eura. Ovo smanjenje  je rezultat nižih troškova bankarskih usluga i usluga platnog prometa, kao i </w:t>
      </w:r>
      <w:r>
        <w:t>smanjenja negativnih tečajnih razlika, što je utjecalo na smanjenje ukupnih troškova u ovoj kategoriji. Također, zabilježeno je smanjenje troškova zateznih kamata koje se odnose na zakašnjela plaćanja prema dobavljačima lijekova i potrošnog medicinskog mat</w:t>
      </w:r>
      <w:r>
        <w:t>erijala. Iako se s dobavljačima nastoje pregovarati uvjeti za otpis tih kamata, kod određenih partnera isto nije moguće jer nisu skloni pregovorima. Kašnjenja u plaćanjima rezultat su zatvaranja objekta Minerva, zbog čega se ne ostvaruje prihod.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>
        <w:rPr>
          <w:sz w:val="28"/>
        </w:rPr>
        <w:t>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2.508,57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96,3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Ostvareni trošak iznosi 2.415,66 eura, što predstavlja smanjenje od 3,70% ili 92,91 eura. Trošak se odnosi na stipendije za djecu preminulih radnika. Do kraja kolovoza pravo na stipendiju ostvarivalo je troje djece, dok od rujna to pravo ostvaruju </w:t>
      </w:r>
      <w:r>
        <w:t>dvoje djece.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373.716,11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359.575,33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96,2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>U tekućoj godini prihodi su umanjeni za 3,80% ili 14.140,78 eura, te ukupno iznose 359.575,33 eura. Obračunati prihodi od prodaje i usluga odnose se na neplaćene fakture ispostavljenih na osobno zaduženje, trgovačka društva ili</w:t>
      </w:r>
      <w:r>
        <w:t xml:space="preserve"> treće osobe, a naplata se očekuje u skladu s uvjetima dospijeća. Na obračunatim prihodima evidentiraju se i potraživanja koja su već utužena, ali do sada nisu naplaćena. Ova situacija ukazuje na postojeće </w:t>
      </w:r>
      <w:proofErr w:type="spellStart"/>
      <w:r>
        <w:t>nesrazmjere</w:t>
      </w:r>
      <w:proofErr w:type="spellEnd"/>
      <w:r>
        <w:t xml:space="preserve"> između obračunatih prihoda i stvarne n</w:t>
      </w:r>
      <w:r>
        <w:t>aplate, pri čemu se naplata očekuje u valuti dospijeća, uključujući naplatu utuženih potraživanja.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81.539,94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90.018,19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>Ukupna potraživanja iznose 90.018,19 eura, što predstavlja povećanje za 10,40%. Unutar ove skupine iskazana su potraživanja za zaštitu zdravlja na radu u</w:t>
      </w:r>
      <w:r>
        <w:t xml:space="preserve"> iznosu 71.511,43 eura te INO osiguranike u iznosu 18.506,76 eura.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građevinskih objekata (šifre 7211 do 7214)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Prethodne godine evidentiran iznos od 96,08 eura koji se je odnosio na otplatu stanova. Budući da su u tijeku poslovne 2024. godine svi stanovi otplaćeni, u poslovnoj 2025. godini nema </w:t>
      </w:r>
      <w:r>
        <w:t>evidentiranih prihoda s ove osnove.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 (šifre 4121 do 4126)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9.802,21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17.544,05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179,0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>Troškovi bilježe povećanje od 79,00% ili 7.741,84 eura. U tekućoj godini izvršena obnova licenci za pristup bazi medicinske dokumentacije u elektronskom obliku '</w:t>
      </w:r>
      <w:proofErr w:type="spellStart"/>
      <w:r>
        <w:t>UpToDate</w:t>
      </w:r>
      <w:proofErr w:type="spellEnd"/>
      <w:r>
        <w:t xml:space="preserve"> </w:t>
      </w:r>
      <w:proofErr w:type="spellStart"/>
      <w:r>
        <w:t>Anywhere</w:t>
      </w:r>
      <w:proofErr w:type="spellEnd"/>
      <w:r>
        <w:t>' te naknade za održavanje postojećih licenci kao i</w:t>
      </w:r>
      <w:r>
        <w:t xml:space="preserve"> prethodne godine. Dodatno, rast troškova odnosi se na nove licence za softver za backup i oporavak podataka u skladu s NIS2 direktivom, licence za </w:t>
      </w:r>
      <w:proofErr w:type="spellStart"/>
      <w:r>
        <w:t>firewall</w:t>
      </w:r>
      <w:proofErr w:type="spellEnd"/>
      <w:r>
        <w:t xml:space="preserve"> uređaj radi slojevite obnove mreže u stvarnom vremenu, kao i licence potrebne za rad robotskog uređ</w:t>
      </w:r>
      <w:r>
        <w:t>aja za jedinično izdavanje terapije (lijekova).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Postrojenja i oprema (šifre 4221 do </w:t>
            </w:r>
            <w:r>
              <w:rPr>
                <w:sz w:val="18"/>
              </w:rPr>
              <w:t>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1.016.623,41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303.638,85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29,9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U odnosu na isto razdoblje prethodne 2024. godine, evidentirano je smanjenje od 70,10 %, odnosno 712.984,56 eura. Ovo smanjenje rezultat je nabave samo nužne i neophodne opreme </w:t>
      </w:r>
      <w:r>
        <w:lastRenderedPageBreak/>
        <w:t xml:space="preserve">u sklopu racionalizacije troškova. U </w:t>
      </w:r>
      <w:r>
        <w:t>poslovnoj 2025. godini nabavljena su računala i računalna oprema u iznosu od 2.630,35 eura (pisač za laboratorij, pisač laser i računalo za ljekarnu), oprema za održavanje i zaštitu u iznosu od 1.529,42 eura (stolna nagibna pila), uredska oprema u iznosu o</w:t>
      </w:r>
      <w:r>
        <w:t>d 8.034,18 eura (kartotečni ormar, noćni ormarići, mini kuhinja), oprema za grijanje, ventilaciju i hlađenje u iznosu od 4.210,53 eura (klima uređaji), medicinska oprema u iznosu od 285.361,30 eura (bolnički kreveti, madraci, medicinski uređaji za fizikaln</w:t>
      </w:r>
      <w:r>
        <w:t xml:space="preserve">u terapiju), od čega je 144.640,00 eura financirano iz decentraliziranih sredstava, te uređaji, strojevi i oprema za ostale namjene u iznosu od 1.873,07 eura (perilica i sušilica rublja te kuhinjski rezač – </w:t>
      </w:r>
      <w:proofErr w:type="spellStart"/>
      <w:r>
        <w:t>multipraktik</w:t>
      </w:r>
      <w:proofErr w:type="spellEnd"/>
      <w:r>
        <w:t xml:space="preserve"> za kuhinju Terme). Prethodne godine </w:t>
      </w:r>
      <w:r>
        <w:t>u istom razdoblju nabavljena je razna medicinska oprema, kao i uređaji, strojevi i oprema za ostale namjene. U tekućoj poslovnoj godini nabavka postrojenja i opreme ograničena je na prioritetne potrebe, a sredstva za nabavu djelomično se refundiraju iz dec</w:t>
      </w:r>
      <w:r>
        <w:t>entraliziranih sredstava.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4231 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33.707,19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Prethodne godine nabavljeno je novo službeno vozilo budući da raspoloživa vozila nisu zadovoljavala potrebe svih zaposlenika bolnice zbog odlazaka na edukacije, seminare i druge službene obveze u iznosu 33.707,19 eura. Poslovne godine zbog </w:t>
      </w:r>
      <w:r>
        <w:t>racionalizacije poslovanja i ušteda nećemo nabavljati nova prijevozna sredstva.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10,5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 xml:space="preserve">Evidentirani troškovi manji su za 89,50% ili za 8.950,00 eura. U poslovnoj 2024. godini završena je implementacije ljekarničkog programa sa odjelnim skladištima (za </w:t>
      </w:r>
      <w:r>
        <w:t xml:space="preserve">praćenje lijekova i potrošnog medicinskog materijala), dok  je u poslovnoj 2025. godini evidentirana nabava Bio </w:t>
      </w:r>
      <w:proofErr w:type="spellStart"/>
      <w:r>
        <w:t>net</w:t>
      </w:r>
      <w:proofErr w:type="spellEnd"/>
      <w:r>
        <w:t xml:space="preserve"> radnog mjesta za laboratorijski sustav.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131.719,83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7.417.074,00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5630,9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lastRenderedPageBreak/>
        <w:t xml:space="preserve">Evidentirani troškovi bilježe povećanje za 5.530,90% ili za 7.285.354,17 eura u odnosu na isto razdoblje </w:t>
      </w:r>
      <w:r>
        <w:t>prethodne godine. U poslovnoj 2025. godini evidentirani su troškovi po projektu „Unapređenje kvalitete smještaja i sadržaja hotela Minerva“. U istom razdoblju prethodne godine izvršenje u ovoj skupini rashoda iznosilo je 131.719,83 eura, a odnosilo se je n</w:t>
      </w:r>
      <w:r>
        <w:t>a radove adaptacije sanitarnih prostora na III. katu objekta Konstantinov dom, te ugradnja detektora dima i video sustava na postojećim objektima Zgrade Stari grad, Kotlovnica, Terme i Minerva.</w:t>
      </w:r>
    </w:p>
    <w:p w:rsidR="00D67217" w:rsidRDefault="00D67217"/>
    <w:p w:rsidR="00D67217" w:rsidRDefault="00AB38D1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67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6721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otplatu glavnice 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1.084.841,73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982.330,29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67217" w:rsidRDefault="00AB38D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90,6</w:t>
            </w:r>
          </w:p>
        </w:tc>
      </w:tr>
    </w:tbl>
    <w:p w:rsidR="00D67217" w:rsidRDefault="00D67217">
      <w:pPr>
        <w:spacing w:after="0"/>
      </w:pPr>
    </w:p>
    <w:p w:rsidR="00D67217" w:rsidRDefault="00AB38D1">
      <w:pPr>
        <w:spacing w:line="240" w:lineRule="auto"/>
        <w:jc w:val="both"/>
      </w:pPr>
      <w:r>
        <w:t>Evidentirani izdaci manji su</w:t>
      </w:r>
      <w:r>
        <w:t xml:space="preserve"> u odnosu na isto razdoblje prethodne godine za 9,40% ili za 102.511,44 eura.  Na otplatu glavnice prema HBOR-u evidentiran je iznos od 356.673,36 eura kao i prethodne godine, dok je na otplatu glavnice prema poslovnoj Zagrebačkoj banci evidentiran iznos o</w:t>
      </w:r>
      <w:r>
        <w:t xml:space="preserve">d 625.656,93 eura. Smanjenje se očituje u izdacima za otplatu kratkoročnog kredita </w:t>
      </w:r>
      <w:proofErr w:type="spellStart"/>
      <w:r>
        <w:t>cash</w:t>
      </w:r>
      <w:proofErr w:type="spellEnd"/>
      <w:r>
        <w:t xml:space="preserve"> </w:t>
      </w:r>
      <w:proofErr w:type="spellStart"/>
      <w:r>
        <w:t>poola</w:t>
      </w:r>
      <w:proofErr w:type="spellEnd"/>
      <w:r>
        <w:t xml:space="preserve"> koji iznose 395.944,38 eura (prethodne godine isti su iznosili 472.932,20 eura).</w:t>
      </w:r>
    </w:p>
    <w:p w:rsidR="00D67217" w:rsidRDefault="00D67217"/>
    <w:p w:rsidR="00355A7A" w:rsidRDefault="00355A7A" w:rsidP="00355A7A">
      <w:pPr>
        <w:spacing w:after="0"/>
      </w:pPr>
      <w:r>
        <w:t>Varaždinske Toplice, 10.10.2025.</w:t>
      </w:r>
    </w:p>
    <w:p w:rsidR="00355A7A" w:rsidRDefault="00355A7A" w:rsidP="00355A7A">
      <w:pPr>
        <w:spacing w:after="0"/>
      </w:pPr>
      <w:r>
        <w:t>Broj: 04-161/4-2025.</w:t>
      </w:r>
    </w:p>
    <w:p w:rsidR="00355A7A" w:rsidRDefault="00355A7A"/>
    <w:p w:rsidR="00355A7A" w:rsidRDefault="00355A7A">
      <w:r>
        <w:t>Osoba za kontakt: Voditeljica Odjela ekonomsko-financijskih poslova, Spomenka Sakač, 042/630-384.</w:t>
      </w:r>
    </w:p>
    <w:p w:rsidR="00AB38D1" w:rsidRDefault="00AB38D1"/>
    <w:p w:rsidR="00AB38D1" w:rsidRDefault="00AB38D1">
      <w:r>
        <w:t xml:space="preserve">                                                                                                                     Ravnatelj:</w:t>
      </w:r>
    </w:p>
    <w:p w:rsidR="00AB38D1" w:rsidRDefault="00AB38D1">
      <w:r>
        <w:t xml:space="preserve">                                                    </w:t>
      </w:r>
      <w:bookmarkStart w:id="0" w:name="_GoBack"/>
      <w:bookmarkEnd w:id="0"/>
      <w:r>
        <w:t xml:space="preserve">                                                  Denis Kovačić, dr. med. </w:t>
      </w:r>
      <w:proofErr w:type="spellStart"/>
      <w:r>
        <w:t>spec</w:t>
      </w:r>
      <w:proofErr w:type="spellEnd"/>
      <w:r>
        <w:t>.</w:t>
      </w:r>
    </w:p>
    <w:sectPr w:rsidR="00AB3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17"/>
    <w:rsid w:val="00355A7A"/>
    <w:rsid w:val="00A820F2"/>
    <w:rsid w:val="00AB38D1"/>
    <w:rsid w:val="00D6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A3AB8-4063-49EF-BB2B-5A094954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5221</Words>
  <Characters>29764</Characters>
  <Application>Microsoft Office Word</Application>
  <DocSecurity>0</DocSecurity>
  <Lines>248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Spomenka Sakač</dc:creator>
  <cp:lastModifiedBy>Spomenka Sakač</cp:lastModifiedBy>
  <cp:revision>3</cp:revision>
  <dcterms:created xsi:type="dcterms:W3CDTF">2025-10-10T09:58:00Z</dcterms:created>
  <dcterms:modified xsi:type="dcterms:W3CDTF">2025-10-10T09:59:00Z</dcterms:modified>
</cp:coreProperties>
</file>