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7A6BC0">
        <w:tblPrEx>
          <w:tblCellMar>
            <w:top w:w="0" w:type="dxa"/>
            <w:bottom w:w="0" w:type="dxa"/>
          </w:tblCellMar>
        </w:tblPrEx>
        <w:trPr>
          <w:tblCellSpacing w:w="60" w:type="dxa"/>
        </w:trPr>
        <w:tc>
          <w:tcPr>
            <w:tcW w:w="1200" w:type="pct"/>
            <w:shd w:val="clear" w:color="auto" w:fill="E7F0F9"/>
          </w:tcPr>
          <w:p w:rsidR="007A6BC0" w:rsidRDefault="002E249B">
            <w:pPr>
              <w:spacing w:after="0" w:line="240" w:lineRule="auto"/>
            </w:pPr>
            <w:r>
              <w:rPr>
                <w:b/>
              </w:rPr>
              <w:t>RKP broj</w:t>
            </w:r>
          </w:p>
        </w:tc>
        <w:tc>
          <w:tcPr>
            <w:tcW w:w="0" w:type="auto"/>
            <w:shd w:val="clear" w:color="auto" w:fill="E7F0F9"/>
          </w:tcPr>
          <w:p w:rsidR="007A6BC0" w:rsidRDefault="002E249B">
            <w:pPr>
              <w:spacing w:after="0" w:line="240" w:lineRule="auto"/>
            </w:pPr>
            <w:r>
              <w:t>40746</w:t>
            </w:r>
          </w:p>
        </w:tc>
      </w:tr>
      <w:tr w:rsidR="007A6BC0">
        <w:tblPrEx>
          <w:tblCellMar>
            <w:top w:w="0" w:type="dxa"/>
            <w:bottom w:w="0" w:type="dxa"/>
          </w:tblCellMar>
        </w:tblPrEx>
        <w:trPr>
          <w:tblCellSpacing w:w="60" w:type="dxa"/>
        </w:trPr>
        <w:tc>
          <w:tcPr>
            <w:tcW w:w="1200" w:type="pct"/>
            <w:shd w:val="clear" w:color="auto" w:fill="E7F0F9"/>
          </w:tcPr>
          <w:p w:rsidR="007A6BC0" w:rsidRDefault="002E249B">
            <w:pPr>
              <w:spacing w:after="0" w:line="240" w:lineRule="auto"/>
            </w:pPr>
            <w:r>
              <w:rPr>
                <w:b/>
              </w:rPr>
              <w:t>Naziv obveznika</w:t>
            </w:r>
          </w:p>
        </w:tc>
        <w:tc>
          <w:tcPr>
            <w:tcW w:w="0" w:type="auto"/>
            <w:shd w:val="clear" w:color="auto" w:fill="E7F0F9"/>
          </w:tcPr>
          <w:p w:rsidR="007A6BC0" w:rsidRDefault="002E249B">
            <w:pPr>
              <w:spacing w:after="0" w:line="240" w:lineRule="auto"/>
            </w:pPr>
            <w:r>
              <w:t>SPECIJALNA BOLNICA ZA MEDICINSKU REHABILITACIJU VARAŽDINSKE TOPLICE</w:t>
            </w:r>
          </w:p>
        </w:tc>
      </w:tr>
      <w:tr w:rsidR="007A6BC0">
        <w:tblPrEx>
          <w:tblCellMar>
            <w:top w:w="0" w:type="dxa"/>
            <w:bottom w:w="0" w:type="dxa"/>
          </w:tblCellMar>
        </w:tblPrEx>
        <w:trPr>
          <w:tblCellSpacing w:w="60" w:type="dxa"/>
        </w:trPr>
        <w:tc>
          <w:tcPr>
            <w:tcW w:w="1200" w:type="pct"/>
            <w:shd w:val="clear" w:color="auto" w:fill="E7F0F9"/>
          </w:tcPr>
          <w:p w:rsidR="007A6BC0" w:rsidRDefault="002E249B">
            <w:pPr>
              <w:spacing w:after="0" w:line="240" w:lineRule="auto"/>
            </w:pPr>
            <w:r>
              <w:rPr>
                <w:b/>
              </w:rPr>
              <w:t>Razina</w:t>
            </w:r>
          </w:p>
        </w:tc>
        <w:tc>
          <w:tcPr>
            <w:tcW w:w="0" w:type="auto"/>
            <w:shd w:val="clear" w:color="auto" w:fill="E7F0F9"/>
          </w:tcPr>
          <w:p w:rsidR="007A6BC0" w:rsidRDefault="002E249B">
            <w:pPr>
              <w:spacing w:after="0" w:line="240" w:lineRule="auto"/>
            </w:pPr>
            <w:r>
              <w:t>31</w:t>
            </w:r>
          </w:p>
        </w:tc>
      </w:tr>
    </w:tbl>
    <w:p w:rsidR="007A6BC0" w:rsidRDefault="002E249B">
      <w:r>
        <w:br/>
      </w:r>
    </w:p>
    <w:p w:rsidR="007A6BC0" w:rsidRDefault="002E249B">
      <w:pPr>
        <w:spacing w:line="240" w:lineRule="auto"/>
        <w:jc w:val="center"/>
      </w:pPr>
      <w:r>
        <w:rPr>
          <w:b/>
          <w:sz w:val="28"/>
        </w:rPr>
        <w:t>BILJEŠKE UZ FINANCIJSKE IZVJEŠTAJE</w:t>
      </w:r>
    </w:p>
    <w:p w:rsidR="007A6BC0" w:rsidRDefault="002E249B">
      <w:pPr>
        <w:spacing w:line="240" w:lineRule="auto"/>
        <w:jc w:val="center"/>
      </w:pPr>
      <w:r>
        <w:rPr>
          <w:b/>
          <w:sz w:val="28"/>
        </w:rPr>
        <w:t>ZA RAZDOBLJE</w:t>
      </w:r>
    </w:p>
    <w:p w:rsidR="007A6BC0" w:rsidRDefault="002E249B">
      <w:pPr>
        <w:spacing w:line="240" w:lineRule="auto"/>
        <w:jc w:val="center"/>
      </w:pPr>
      <w:r>
        <w:rPr>
          <w:b/>
          <w:sz w:val="28"/>
        </w:rPr>
        <w:t>I - VI 2025.</w:t>
      </w:r>
    </w:p>
    <w:p w:rsidR="007A6BC0" w:rsidRDefault="007A6BC0"/>
    <w:p w:rsidR="007A6BC0" w:rsidRDefault="002E249B">
      <w:pPr>
        <w:keepNext/>
        <w:spacing w:line="240" w:lineRule="auto"/>
        <w:jc w:val="center"/>
      </w:pPr>
      <w:r>
        <w:rPr>
          <w:b/>
          <w:sz w:val="28"/>
        </w:rPr>
        <w:t>Izvještaj o prihodima i rashodima, primicima i izdacima</w:t>
      </w:r>
    </w:p>
    <w:p w:rsidR="007A6BC0" w:rsidRDefault="002E249B">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w:t>
            </w:r>
          </w:p>
        </w:tc>
        <w:tc>
          <w:tcPr>
            <w:tcW w:w="3180" w:type="dxa"/>
            <w:tcMar>
              <w:top w:w="0" w:type="dxa"/>
              <w:bottom w:w="0" w:type="dxa"/>
            </w:tcMar>
            <w:vAlign w:val="center"/>
          </w:tcPr>
          <w:p w:rsidR="007A6BC0" w:rsidRDefault="002E249B">
            <w:pPr>
              <w:keepNext/>
              <w:keepLines/>
              <w:spacing w:after="0" w:line="240" w:lineRule="auto"/>
            </w:pPr>
            <w:r>
              <w:rPr>
                <w:sz w:val="18"/>
              </w:rPr>
              <w:t>PRIHODI POSLOVANJA (šifre 61+62+63+64+65+66+67+68)</w:t>
            </w:r>
          </w:p>
        </w:tc>
        <w:tc>
          <w:tcPr>
            <w:tcW w:w="700" w:type="dxa"/>
            <w:tcMar>
              <w:top w:w="0" w:type="dxa"/>
              <w:bottom w:w="0" w:type="dxa"/>
            </w:tcMar>
            <w:vAlign w:val="center"/>
          </w:tcPr>
          <w:p w:rsidR="007A6BC0" w:rsidRDefault="002E249B">
            <w:pPr>
              <w:keepNext/>
              <w:keepLines/>
              <w:spacing w:after="0" w:line="240" w:lineRule="auto"/>
            </w:pPr>
            <w:r>
              <w:rPr>
                <w:sz w:val="18"/>
              </w:rPr>
              <w:t>6</w:t>
            </w:r>
          </w:p>
        </w:tc>
        <w:tc>
          <w:tcPr>
            <w:tcW w:w="1860" w:type="dxa"/>
            <w:tcMar>
              <w:top w:w="0" w:type="dxa"/>
              <w:bottom w:w="0" w:type="dxa"/>
            </w:tcMar>
            <w:vAlign w:val="center"/>
          </w:tcPr>
          <w:p w:rsidR="007A6BC0" w:rsidRDefault="002E249B">
            <w:pPr>
              <w:keepNext/>
              <w:keepLines/>
              <w:spacing w:after="0" w:line="240" w:lineRule="auto"/>
              <w:jc w:val="right"/>
            </w:pPr>
            <w:r>
              <w:rPr>
                <w:sz w:val="18"/>
              </w:rPr>
              <w:t>12.216.567,97</w:t>
            </w:r>
          </w:p>
        </w:tc>
        <w:tc>
          <w:tcPr>
            <w:tcW w:w="1860" w:type="dxa"/>
            <w:tcMar>
              <w:top w:w="0" w:type="dxa"/>
              <w:bottom w:w="0" w:type="dxa"/>
            </w:tcMar>
            <w:vAlign w:val="center"/>
          </w:tcPr>
          <w:p w:rsidR="007A6BC0" w:rsidRDefault="002E249B">
            <w:pPr>
              <w:keepNext/>
              <w:keepLines/>
              <w:spacing w:after="0" w:line="240" w:lineRule="auto"/>
              <w:jc w:val="right"/>
            </w:pPr>
            <w:r>
              <w:rPr>
                <w:sz w:val="18"/>
              </w:rPr>
              <w:t>13.580.303,01</w:t>
            </w:r>
          </w:p>
        </w:tc>
        <w:tc>
          <w:tcPr>
            <w:tcW w:w="700" w:type="dxa"/>
            <w:tcMar>
              <w:top w:w="0" w:type="dxa"/>
              <w:bottom w:w="0" w:type="dxa"/>
            </w:tcMar>
            <w:vAlign w:val="center"/>
          </w:tcPr>
          <w:p w:rsidR="007A6BC0" w:rsidRDefault="002E249B">
            <w:pPr>
              <w:keepNext/>
              <w:keepLines/>
              <w:spacing w:after="0" w:line="240" w:lineRule="auto"/>
              <w:jc w:val="right"/>
            </w:pPr>
            <w:r>
              <w:rPr>
                <w:sz w:val="18"/>
              </w:rPr>
              <w:t>111,2</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3</w:t>
            </w:r>
          </w:p>
        </w:tc>
        <w:tc>
          <w:tcPr>
            <w:tcW w:w="3180" w:type="dxa"/>
            <w:tcMar>
              <w:top w:w="0" w:type="dxa"/>
              <w:bottom w:w="0" w:type="dxa"/>
            </w:tcMar>
            <w:vAlign w:val="center"/>
          </w:tcPr>
          <w:p w:rsidR="007A6BC0" w:rsidRDefault="002E249B">
            <w:pPr>
              <w:keepNext/>
              <w:keepLines/>
              <w:spacing w:after="0" w:line="240" w:lineRule="auto"/>
            </w:pPr>
            <w:r>
              <w:rPr>
                <w:sz w:val="18"/>
              </w:rPr>
              <w:t xml:space="preserve">RASHODI POSLOVANJA </w:t>
            </w:r>
            <w:r>
              <w:rPr>
                <w:sz w:val="18"/>
              </w:rPr>
              <w:t>(šifre 31+32+34+35+36+37+38)</w:t>
            </w:r>
          </w:p>
        </w:tc>
        <w:tc>
          <w:tcPr>
            <w:tcW w:w="700" w:type="dxa"/>
            <w:tcMar>
              <w:top w:w="0" w:type="dxa"/>
              <w:bottom w:w="0" w:type="dxa"/>
            </w:tcMar>
            <w:vAlign w:val="center"/>
          </w:tcPr>
          <w:p w:rsidR="007A6BC0" w:rsidRDefault="002E249B">
            <w:pPr>
              <w:keepNext/>
              <w:keepLines/>
              <w:spacing w:after="0" w:line="240" w:lineRule="auto"/>
            </w:pPr>
            <w:r>
              <w:rPr>
                <w:sz w:val="18"/>
              </w:rPr>
              <w:t>3</w:t>
            </w:r>
          </w:p>
        </w:tc>
        <w:tc>
          <w:tcPr>
            <w:tcW w:w="1860" w:type="dxa"/>
            <w:tcMar>
              <w:top w:w="0" w:type="dxa"/>
              <w:bottom w:w="0" w:type="dxa"/>
            </w:tcMar>
            <w:vAlign w:val="center"/>
          </w:tcPr>
          <w:p w:rsidR="007A6BC0" w:rsidRDefault="002E249B">
            <w:pPr>
              <w:keepNext/>
              <w:keepLines/>
              <w:spacing w:after="0" w:line="240" w:lineRule="auto"/>
              <w:jc w:val="right"/>
            </w:pPr>
            <w:r>
              <w:rPr>
                <w:sz w:val="18"/>
              </w:rPr>
              <w:t>12.134.635,19</w:t>
            </w:r>
          </w:p>
        </w:tc>
        <w:tc>
          <w:tcPr>
            <w:tcW w:w="1860" w:type="dxa"/>
            <w:tcMar>
              <w:top w:w="0" w:type="dxa"/>
              <w:bottom w:w="0" w:type="dxa"/>
            </w:tcMar>
            <w:vAlign w:val="center"/>
          </w:tcPr>
          <w:p w:rsidR="007A6BC0" w:rsidRDefault="002E249B">
            <w:pPr>
              <w:keepNext/>
              <w:keepLines/>
              <w:spacing w:after="0" w:line="240" w:lineRule="auto"/>
              <w:jc w:val="right"/>
            </w:pPr>
            <w:r>
              <w:rPr>
                <w:sz w:val="18"/>
              </w:rPr>
              <w:t>11.882.208,51</w:t>
            </w:r>
          </w:p>
        </w:tc>
        <w:tc>
          <w:tcPr>
            <w:tcW w:w="700" w:type="dxa"/>
            <w:tcMar>
              <w:top w:w="0" w:type="dxa"/>
              <w:bottom w:w="0" w:type="dxa"/>
            </w:tcMar>
            <w:vAlign w:val="center"/>
          </w:tcPr>
          <w:p w:rsidR="007A6BC0" w:rsidRDefault="002E249B">
            <w:pPr>
              <w:keepNext/>
              <w:keepLines/>
              <w:spacing w:after="0" w:line="240" w:lineRule="auto"/>
              <w:jc w:val="right"/>
            </w:pPr>
            <w:r>
              <w:rPr>
                <w:sz w:val="18"/>
              </w:rPr>
              <w:t>97,9</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7A6BC0">
            <w:pPr>
              <w:keepNext/>
              <w:keepLines/>
              <w:spacing w:after="0" w:line="240" w:lineRule="auto"/>
            </w:pPr>
          </w:p>
        </w:tc>
        <w:tc>
          <w:tcPr>
            <w:tcW w:w="3180" w:type="dxa"/>
            <w:tcMar>
              <w:top w:w="0" w:type="dxa"/>
              <w:bottom w:w="0" w:type="dxa"/>
            </w:tcMar>
            <w:vAlign w:val="center"/>
          </w:tcPr>
          <w:p w:rsidR="007A6BC0" w:rsidRDefault="002E249B">
            <w:pPr>
              <w:keepNext/>
              <w:keepLines/>
              <w:spacing w:after="0" w:line="240" w:lineRule="auto"/>
            </w:pPr>
            <w:r>
              <w:rPr>
                <w:b/>
                <w:sz w:val="18"/>
              </w:rPr>
              <w:t>VIŠAK PRIHODA POSLOVANJA (šifre 6-Z005)</w:t>
            </w:r>
          </w:p>
        </w:tc>
        <w:tc>
          <w:tcPr>
            <w:tcW w:w="700" w:type="dxa"/>
            <w:tcMar>
              <w:top w:w="0" w:type="dxa"/>
              <w:bottom w:w="0" w:type="dxa"/>
            </w:tcMar>
            <w:vAlign w:val="center"/>
          </w:tcPr>
          <w:p w:rsidR="007A6BC0" w:rsidRDefault="002E249B">
            <w:pPr>
              <w:keepNext/>
              <w:keepLines/>
              <w:spacing w:after="0" w:line="240" w:lineRule="auto"/>
            </w:pPr>
            <w:r>
              <w:rPr>
                <w:b/>
                <w:sz w:val="18"/>
              </w:rPr>
              <w:t>X001</w:t>
            </w:r>
          </w:p>
        </w:tc>
        <w:tc>
          <w:tcPr>
            <w:tcW w:w="1860" w:type="dxa"/>
            <w:tcMar>
              <w:top w:w="0" w:type="dxa"/>
              <w:bottom w:w="0" w:type="dxa"/>
            </w:tcMar>
            <w:vAlign w:val="center"/>
          </w:tcPr>
          <w:p w:rsidR="007A6BC0" w:rsidRDefault="002E249B">
            <w:pPr>
              <w:keepNext/>
              <w:keepLines/>
              <w:spacing w:after="0" w:line="240" w:lineRule="auto"/>
              <w:jc w:val="right"/>
            </w:pPr>
            <w:r>
              <w:rPr>
                <w:b/>
                <w:sz w:val="18"/>
              </w:rPr>
              <w:t>81.932,78</w:t>
            </w:r>
          </w:p>
        </w:tc>
        <w:tc>
          <w:tcPr>
            <w:tcW w:w="1860" w:type="dxa"/>
            <w:tcMar>
              <w:top w:w="0" w:type="dxa"/>
              <w:bottom w:w="0" w:type="dxa"/>
            </w:tcMar>
            <w:vAlign w:val="center"/>
          </w:tcPr>
          <w:p w:rsidR="007A6BC0" w:rsidRDefault="002E249B">
            <w:pPr>
              <w:keepNext/>
              <w:keepLines/>
              <w:spacing w:after="0" w:line="240" w:lineRule="auto"/>
              <w:jc w:val="right"/>
            </w:pPr>
            <w:r>
              <w:rPr>
                <w:b/>
                <w:sz w:val="18"/>
              </w:rPr>
              <w:t>1.698.094,50</w:t>
            </w:r>
          </w:p>
        </w:tc>
        <w:tc>
          <w:tcPr>
            <w:tcW w:w="700" w:type="dxa"/>
            <w:tcMar>
              <w:top w:w="0" w:type="dxa"/>
              <w:bottom w:w="0" w:type="dxa"/>
            </w:tcMar>
            <w:vAlign w:val="center"/>
          </w:tcPr>
          <w:p w:rsidR="007A6BC0" w:rsidRDefault="002E249B">
            <w:pPr>
              <w:keepNext/>
              <w:keepLines/>
              <w:spacing w:after="0" w:line="240" w:lineRule="auto"/>
              <w:jc w:val="right"/>
            </w:pPr>
            <w:r>
              <w:rPr>
                <w:b/>
                <w:sz w:val="18"/>
              </w:rPr>
              <w:t>2072,5</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7</w:t>
            </w:r>
          </w:p>
        </w:tc>
        <w:tc>
          <w:tcPr>
            <w:tcW w:w="3180" w:type="dxa"/>
            <w:tcMar>
              <w:top w:w="0" w:type="dxa"/>
              <w:bottom w:w="0" w:type="dxa"/>
            </w:tcMar>
            <w:vAlign w:val="center"/>
          </w:tcPr>
          <w:p w:rsidR="007A6BC0" w:rsidRDefault="002E249B">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7A6BC0" w:rsidRDefault="002E249B">
            <w:pPr>
              <w:keepNext/>
              <w:keepLines/>
              <w:spacing w:after="0" w:line="240" w:lineRule="auto"/>
            </w:pPr>
            <w:r>
              <w:rPr>
                <w:sz w:val="18"/>
              </w:rPr>
              <w:t>7</w:t>
            </w:r>
          </w:p>
        </w:tc>
        <w:tc>
          <w:tcPr>
            <w:tcW w:w="1860" w:type="dxa"/>
            <w:tcMar>
              <w:top w:w="0" w:type="dxa"/>
              <w:bottom w:w="0" w:type="dxa"/>
            </w:tcMar>
            <w:vAlign w:val="center"/>
          </w:tcPr>
          <w:p w:rsidR="007A6BC0" w:rsidRDefault="002E249B">
            <w:pPr>
              <w:keepNext/>
              <w:keepLines/>
              <w:spacing w:after="0" w:line="240" w:lineRule="auto"/>
              <w:jc w:val="right"/>
            </w:pPr>
            <w:r>
              <w:rPr>
                <w:sz w:val="18"/>
              </w:rPr>
              <w:t>96,08</w:t>
            </w:r>
          </w:p>
        </w:tc>
        <w:tc>
          <w:tcPr>
            <w:tcW w:w="1860" w:type="dxa"/>
            <w:tcMar>
              <w:top w:w="0" w:type="dxa"/>
              <w:bottom w:w="0" w:type="dxa"/>
            </w:tcMar>
            <w:vAlign w:val="center"/>
          </w:tcPr>
          <w:p w:rsidR="007A6BC0" w:rsidRDefault="002E249B">
            <w:pPr>
              <w:keepNext/>
              <w:keepLines/>
              <w:spacing w:after="0" w:line="240" w:lineRule="auto"/>
              <w:jc w:val="right"/>
            </w:pPr>
            <w:r>
              <w:rPr>
                <w:sz w:val="18"/>
              </w:rPr>
              <w:t>0,00</w:t>
            </w:r>
          </w:p>
        </w:tc>
        <w:tc>
          <w:tcPr>
            <w:tcW w:w="700" w:type="dxa"/>
            <w:tcMar>
              <w:top w:w="0" w:type="dxa"/>
              <w:bottom w:w="0" w:type="dxa"/>
            </w:tcMar>
            <w:vAlign w:val="center"/>
          </w:tcPr>
          <w:p w:rsidR="007A6BC0" w:rsidRDefault="002E249B">
            <w:pPr>
              <w:keepNext/>
              <w:keepLines/>
              <w:spacing w:after="0" w:line="240" w:lineRule="auto"/>
              <w:jc w:val="right"/>
            </w:pPr>
            <w:r>
              <w:rPr>
                <w:sz w:val="18"/>
              </w:rPr>
              <w:t>0</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4</w:t>
            </w:r>
          </w:p>
        </w:tc>
        <w:tc>
          <w:tcPr>
            <w:tcW w:w="3180" w:type="dxa"/>
            <w:tcMar>
              <w:top w:w="0" w:type="dxa"/>
              <w:bottom w:w="0" w:type="dxa"/>
            </w:tcMar>
            <w:vAlign w:val="center"/>
          </w:tcPr>
          <w:p w:rsidR="007A6BC0" w:rsidRDefault="002E249B">
            <w:pPr>
              <w:keepNext/>
              <w:keepLines/>
              <w:spacing w:after="0" w:line="240" w:lineRule="auto"/>
            </w:pPr>
            <w:r>
              <w:rPr>
                <w:sz w:val="18"/>
              </w:rPr>
              <w:t xml:space="preserve">Rashodi za nabavu nefinancijske </w:t>
            </w:r>
            <w:r>
              <w:rPr>
                <w:sz w:val="18"/>
              </w:rPr>
              <w:t>imovine (šifre 41+42+43+44+45)</w:t>
            </w:r>
          </w:p>
        </w:tc>
        <w:tc>
          <w:tcPr>
            <w:tcW w:w="700" w:type="dxa"/>
            <w:tcMar>
              <w:top w:w="0" w:type="dxa"/>
              <w:bottom w:w="0" w:type="dxa"/>
            </w:tcMar>
            <w:vAlign w:val="center"/>
          </w:tcPr>
          <w:p w:rsidR="007A6BC0" w:rsidRDefault="002E249B">
            <w:pPr>
              <w:keepNext/>
              <w:keepLines/>
              <w:spacing w:after="0" w:line="240" w:lineRule="auto"/>
            </w:pPr>
            <w:r>
              <w:rPr>
                <w:sz w:val="18"/>
              </w:rPr>
              <w:t>4</w:t>
            </w:r>
          </w:p>
        </w:tc>
        <w:tc>
          <w:tcPr>
            <w:tcW w:w="1860" w:type="dxa"/>
            <w:tcMar>
              <w:top w:w="0" w:type="dxa"/>
              <w:bottom w:w="0" w:type="dxa"/>
            </w:tcMar>
            <w:vAlign w:val="center"/>
          </w:tcPr>
          <w:p w:rsidR="007A6BC0" w:rsidRDefault="002E249B">
            <w:pPr>
              <w:keepNext/>
              <w:keepLines/>
              <w:spacing w:after="0" w:line="240" w:lineRule="auto"/>
              <w:jc w:val="right"/>
            </w:pPr>
            <w:r>
              <w:rPr>
                <w:sz w:val="18"/>
              </w:rPr>
              <w:t>391.078,41</w:t>
            </w:r>
          </w:p>
        </w:tc>
        <w:tc>
          <w:tcPr>
            <w:tcW w:w="1860" w:type="dxa"/>
            <w:tcMar>
              <w:top w:w="0" w:type="dxa"/>
              <w:bottom w:w="0" w:type="dxa"/>
            </w:tcMar>
            <w:vAlign w:val="center"/>
          </w:tcPr>
          <w:p w:rsidR="007A6BC0" w:rsidRDefault="002E249B">
            <w:pPr>
              <w:keepNext/>
              <w:keepLines/>
              <w:spacing w:after="0" w:line="240" w:lineRule="auto"/>
              <w:jc w:val="right"/>
            </w:pPr>
            <w:r>
              <w:rPr>
                <w:sz w:val="18"/>
              </w:rPr>
              <w:t>3.440.580,09</w:t>
            </w:r>
          </w:p>
        </w:tc>
        <w:tc>
          <w:tcPr>
            <w:tcW w:w="700" w:type="dxa"/>
            <w:tcMar>
              <w:top w:w="0" w:type="dxa"/>
              <w:bottom w:w="0" w:type="dxa"/>
            </w:tcMar>
            <w:vAlign w:val="center"/>
          </w:tcPr>
          <w:p w:rsidR="007A6BC0" w:rsidRDefault="002E249B">
            <w:pPr>
              <w:keepNext/>
              <w:keepLines/>
              <w:spacing w:after="0" w:line="240" w:lineRule="auto"/>
              <w:jc w:val="right"/>
            </w:pPr>
            <w:r>
              <w:rPr>
                <w:sz w:val="18"/>
              </w:rPr>
              <w:t>879,8</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7A6BC0">
            <w:pPr>
              <w:keepNext/>
              <w:keepLines/>
              <w:spacing w:after="0" w:line="240" w:lineRule="auto"/>
            </w:pPr>
          </w:p>
        </w:tc>
        <w:tc>
          <w:tcPr>
            <w:tcW w:w="3180" w:type="dxa"/>
            <w:tcMar>
              <w:top w:w="0" w:type="dxa"/>
              <w:bottom w:w="0" w:type="dxa"/>
            </w:tcMar>
            <w:vAlign w:val="center"/>
          </w:tcPr>
          <w:p w:rsidR="007A6BC0" w:rsidRDefault="002E249B">
            <w:pPr>
              <w:keepNext/>
              <w:keepLines/>
              <w:spacing w:after="0" w:line="240" w:lineRule="auto"/>
            </w:pPr>
            <w:r>
              <w:rPr>
                <w:b/>
                <w:sz w:val="18"/>
              </w:rPr>
              <w:t>MANJAK PRIHODA OD NEFINANCIJSKE IMOVINE (šifre 4-7)</w:t>
            </w:r>
          </w:p>
        </w:tc>
        <w:tc>
          <w:tcPr>
            <w:tcW w:w="700" w:type="dxa"/>
            <w:tcMar>
              <w:top w:w="0" w:type="dxa"/>
              <w:bottom w:w="0" w:type="dxa"/>
            </w:tcMar>
            <w:vAlign w:val="center"/>
          </w:tcPr>
          <w:p w:rsidR="007A6BC0" w:rsidRDefault="002E249B">
            <w:pPr>
              <w:keepNext/>
              <w:keepLines/>
              <w:spacing w:after="0" w:line="240" w:lineRule="auto"/>
            </w:pPr>
            <w:r>
              <w:rPr>
                <w:b/>
                <w:sz w:val="18"/>
              </w:rPr>
              <w:t>Y002</w:t>
            </w:r>
          </w:p>
        </w:tc>
        <w:tc>
          <w:tcPr>
            <w:tcW w:w="1860" w:type="dxa"/>
            <w:tcMar>
              <w:top w:w="0" w:type="dxa"/>
              <w:bottom w:w="0" w:type="dxa"/>
            </w:tcMar>
            <w:vAlign w:val="center"/>
          </w:tcPr>
          <w:p w:rsidR="007A6BC0" w:rsidRDefault="002E249B">
            <w:pPr>
              <w:keepNext/>
              <w:keepLines/>
              <w:spacing w:after="0" w:line="240" w:lineRule="auto"/>
              <w:jc w:val="right"/>
            </w:pPr>
            <w:r>
              <w:rPr>
                <w:b/>
                <w:sz w:val="18"/>
              </w:rPr>
              <w:t>390.982,33</w:t>
            </w:r>
          </w:p>
        </w:tc>
        <w:tc>
          <w:tcPr>
            <w:tcW w:w="1860" w:type="dxa"/>
            <w:tcMar>
              <w:top w:w="0" w:type="dxa"/>
              <w:bottom w:w="0" w:type="dxa"/>
            </w:tcMar>
            <w:vAlign w:val="center"/>
          </w:tcPr>
          <w:p w:rsidR="007A6BC0" w:rsidRDefault="002E249B">
            <w:pPr>
              <w:keepNext/>
              <w:keepLines/>
              <w:spacing w:after="0" w:line="240" w:lineRule="auto"/>
              <w:jc w:val="right"/>
            </w:pPr>
            <w:r>
              <w:rPr>
                <w:b/>
                <w:sz w:val="18"/>
              </w:rPr>
              <w:t>3.440.580,09</w:t>
            </w:r>
          </w:p>
        </w:tc>
        <w:tc>
          <w:tcPr>
            <w:tcW w:w="700" w:type="dxa"/>
            <w:tcMar>
              <w:top w:w="0" w:type="dxa"/>
              <w:bottom w:w="0" w:type="dxa"/>
            </w:tcMar>
            <w:vAlign w:val="center"/>
          </w:tcPr>
          <w:p w:rsidR="007A6BC0" w:rsidRDefault="002E249B">
            <w:pPr>
              <w:keepNext/>
              <w:keepLines/>
              <w:spacing w:after="0" w:line="240" w:lineRule="auto"/>
              <w:jc w:val="right"/>
            </w:pPr>
            <w:r>
              <w:rPr>
                <w:b/>
                <w:sz w:val="18"/>
              </w:rPr>
              <w:t>880,0</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8</w:t>
            </w:r>
          </w:p>
        </w:tc>
        <w:tc>
          <w:tcPr>
            <w:tcW w:w="3180" w:type="dxa"/>
            <w:tcMar>
              <w:top w:w="0" w:type="dxa"/>
              <w:bottom w:w="0" w:type="dxa"/>
            </w:tcMar>
            <w:vAlign w:val="center"/>
          </w:tcPr>
          <w:p w:rsidR="007A6BC0" w:rsidRDefault="002E249B">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rsidR="007A6BC0" w:rsidRDefault="002E249B">
            <w:pPr>
              <w:keepNext/>
              <w:keepLines/>
              <w:spacing w:after="0" w:line="240" w:lineRule="auto"/>
            </w:pPr>
            <w:r>
              <w:rPr>
                <w:sz w:val="18"/>
              </w:rPr>
              <w:t>8</w:t>
            </w:r>
          </w:p>
        </w:tc>
        <w:tc>
          <w:tcPr>
            <w:tcW w:w="1860" w:type="dxa"/>
            <w:tcMar>
              <w:top w:w="0" w:type="dxa"/>
              <w:bottom w:w="0" w:type="dxa"/>
            </w:tcMar>
            <w:vAlign w:val="center"/>
          </w:tcPr>
          <w:p w:rsidR="007A6BC0" w:rsidRDefault="002E249B">
            <w:pPr>
              <w:keepNext/>
              <w:keepLines/>
              <w:spacing w:after="0" w:line="240" w:lineRule="auto"/>
              <w:jc w:val="right"/>
            </w:pPr>
            <w:r>
              <w:rPr>
                <w:sz w:val="18"/>
              </w:rPr>
              <w:t>0,00</w:t>
            </w:r>
          </w:p>
        </w:tc>
        <w:tc>
          <w:tcPr>
            <w:tcW w:w="1860" w:type="dxa"/>
            <w:tcMar>
              <w:top w:w="0" w:type="dxa"/>
              <w:bottom w:w="0" w:type="dxa"/>
            </w:tcMar>
            <w:vAlign w:val="center"/>
          </w:tcPr>
          <w:p w:rsidR="007A6BC0" w:rsidRDefault="002E249B">
            <w:pPr>
              <w:keepNext/>
              <w:keepLines/>
              <w:spacing w:after="0" w:line="240" w:lineRule="auto"/>
              <w:jc w:val="right"/>
            </w:pPr>
            <w:r>
              <w:rPr>
                <w:sz w:val="18"/>
              </w:rPr>
              <w:t>0,00</w:t>
            </w:r>
          </w:p>
        </w:tc>
        <w:tc>
          <w:tcPr>
            <w:tcW w:w="700" w:type="dxa"/>
            <w:tcMar>
              <w:top w:w="0" w:type="dxa"/>
              <w:bottom w:w="0" w:type="dxa"/>
            </w:tcMar>
            <w:vAlign w:val="center"/>
          </w:tcPr>
          <w:p w:rsidR="007A6BC0" w:rsidRDefault="002E249B">
            <w:pPr>
              <w:keepNext/>
              <w:keepLines/>
              <w:spacing w:after="0" w:line="240" w:lineRule="auto"/>
              <w:jc w:val="right"/>
            </w:pPr>
            <w:r>
              <w:rPr>
                <w:sz w:val="18"/>
              </w:rPr>
              <w:t>-</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5</w:t>
            </w:r>
          </w:p>
        </w:tc>
        <w:tc>
          <w:tcPr>
            <w:tcW w:w="3180" w:type="dxa"/>
            <w:tcMar>
              <w:top w:w="0" w:type="dxa"/>
              <w:bottom w:w="0" w:type="dxa"/>
            </w:tcMar>
            <w:vAlign w:val="center"/>
          </w:tcPr>
          <w:p w:rsidR="007A6BC0" w:rsidRDefault="002E249B">
            <w:pPr>
              <w:keepNext/>
              <w:keepLines/>
              <w:spacing w:after="0" w:line="240" w:lineRule="auto"/>
            </w:pPr>
            <w:r>
              <w:rPr>
                <w:sz w:val="18"/>
              </w:rPr>
              <w:t xml:space="preserve">Izdaci za </w:t>
            </w:r>
            <w:r>
              <w:rPr>
                <w:sz w:val="18"/>
              </w:rPr>
              <w:t>financijsku imovinu i otplate zajmova (šifre 51+52+53+54+55)</w:t>
            </w:r>
          </w:p>
        </w:tc>
        <w:tc>
          <w:tcPr>
            <w:tcW w:w="700" w:type="dxa"/>
            <w:tcMar>
              <w:top w:w="0" w:type="dxa"/>
              <w:bottom w:w="0" w:type="dxa"/>
            </w:tcMar>
            <w:vAlign w:val="center"/>
          </w:tcPr>
          <w:p w:rsidR="007A6BC0" w:rsidRDefault="002E249B">
            <w:pPr>
              <w:keepNext/>
              <w:keepLines/>
              <w:spacing w:after="0" w:line="240" w:lineRule="auto"/>
            </w:pPr>
            <w:r>
              <w:rPr>
                <w:sz w:val="18"/>
              </w:rPr>
              <w:t>5</w:t>
            </w:r>
          </w:p>
        </w:tc>
        <w:tc>
          <w:tcPr>
            <w:tcW w:w="1860" w:type="dxa"/>
            <w:tcMar>
              <w:top w:w="0" w:type="dxa"/>
              <w:bottom w:w="0" w:type="dxa"/>
            </w:tcMar>
            <w:vAlign w:val="center"/>
          </w:tcPr>
          <w:p w:rsidR="007A6BC0" w:rsidRDefault="002E249B">
            <w:pPr>
              <w:keepNext/>
              <w:keepLines/>
              <w:spacing w:after="0" w:line="240" w:lineRule="auto"/>
              <w:jc w:val="right"/>
            </w:pPr>
            <w:r>
              <w:rPr>
                <w:sz w:val="18"/>
              </w:rPr>
              <w:t>724.590,82</w:t>
            </w:r>
          </w:p>
        </w:tc>
        <w:tc>
          <w:tcPr>
            <w:tcW w:w="1860" w:type="dxa"/>
            <w:tcMar>
              <w:top w:w="0" w:type="dxa"/>
              <w:bottom w:w="0" w:type="dxa"/>
            </w:tcMar>
            <w:vAlign w:val="center"/>
          </w:tcPr>
          <w:p w:rsidR="007A6BC0" w:rsidRDefault="002E249B">
            <w:pPr>
              <w:keepNext/>
              <w:keepLines/>
              <w:spacing w:after="0" w:line="240" w:lineRule="auto"/>
              <w:jc w:val="right"/>
            </w:pPr>
            <w:r>
              <w:rPr>
                <w:sz w:val="18"/>
              </w:rPr>
              <w:t>609.115,06</w:t>
            </w:r>
          </w:p>
        </w:tc>
        <w:tc>
          <w:tcPr>
            <w:tcW w:w="700" w:type="dxa"/>
            <w:tcMar>
              <w:top w:w="0" w:type="dxa"/>
              <w:bottom w:w="0" w:type="dxa"/>
            </w:tcMar>
            <w:vAlign w:val="center"/>
          </w:tcPr>
          <w:p w:rsidR="007A6BC0" w:rsidRDefault="002E249B">
            <w:pPr>
              <w:keepNext/>
              <w:keepLines/>
              <w:spacing w:after="0" w:line="240" w:lineRule="auto"/>
              <w:jc w:val="right"/>
            </w:pPr>
            <w:r>
              <w:rPr>
                <w:sz w:val="18"/>
              </w:rPr>
              <w:t>84,1</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7A6BC0">
            <w:pPr>
              <w:keepNext/>
              <w:keepLines/>
              <w:spacing w:after="0" w:line="240" w:lineRule="auto"/>
            </w:pPr>
          </w:p>
        </w:tc>
        <w:tc>
          <w:tcPr>
            <w:tcW w:w="3180" w:type="dxa"/>
            <w:tcMar>
              <w:top w:w="0" w:type="dxa"/>
              <w:bottom w:w="0" w:type="dxa"/>
            </w:tcMar>
            <w:vAlign w:val="center"/>
          </w:tcPr>
          <w:p w:rsidR="007A6BC0" w:rsidRDefault="002E249B">
            <w:pPr>
              <w:keepNext/>
              <w:keepLines/>
              <w:spacing w:after="0" w:line="240" w:lineRule="auto"/>
            </w:pPr>
            <w:r>
              <w:rPr>
                <w:b/>
                <w:sz w:val="18"/>
              </w:rPr>
              <w:t>MANJAK PRIMITAKA OD FINANCIJSKE IMOVINE I ZADUŽIVANJA (šifre 5-8)</w:t>
            </w:r>
          </w:p>
        </w:tc>
        <w:tc>
          <w:tcPr>
            <w:tcW w:w="700" w:type="dxa"/>
            <w:tcMar>
              <w:top w:w="0" w:type="dxa"/>
              <w:bottom w:w="0" w:type="dxa"/>
            </w:tcMar>
            <w:vAlign w:val="center"/>
          </w:tcPr>
          <w:p w:rsidR="007A6BC0" w:rsidRDefault="002E249B">
            <w:pPr>
              <w:keepNext/>
              <w:keepLines/>
              <w:spacing w:after="0" w:line="240" w:lineRule="auto"/>
            </w:pPr>
            <w:r>
              <w:rPr>
                <w:b/>
                <w:sz w:val="18"/>
              </w:rPr>
              <w:t>Y003</w:t>
            </w:r>
          </w:p>
        </w:tc>
        <w:tc>
          <w:tcPr>
            <w:tcW w:w="1860" w:type="dxa"/>
            <w:tcMar>
              <w:top w:w="0" w:type="dxa"/>
              <w:bottom w:w="0" w:type="dxa"/>
            </w:tcMar>
            <w:vAlign w:val="center"/>
          </w:tcPr>
          <w:p w:rsidR="007A6BC0" w:rsidRDefault="002E249B">
            <w:pPr>
              <w:keepNext/>
              <w:keepLines/>
              <w:spacing w:after="0" w:line="240" w:lineRule="auto"/>
              <w:jc w:val="right"/>
            </w:pPr>
            <w:r>
              <w:rPr>
                <w:b/>
                <w:sz w:val="18"/>
              </w:rPr>
              <w:t>724.590,82</w:t>
            </w:r>
          </w:p>
        </w:tc>
        <w:tc>
          <w:tcPr>
            <w:tcW w:w="1860" w:type="dxa"/>
            <w:tcMar>
              <w:top w:w="0" w:type="dxa"/>
              <w:bottom w:w="0" w:type="dxa"/>
            </w:tcMar>
            <w:vAlign w:val="center"/>
          </w:tcPr>
          <w:p w:rsidR="007A6BC0" w:rsidRDefault="002E249B">
            <w:pPr>
              <w:keepNext/>
              <w:keepLines/>
              <w:spacing w:after="0" w:line="240" w:lineRule="auto"/>
              <w:jc w:val="right"/>
            </w:pPr>
            <w:r>
              <w:rPr>
                <w:b/>
                <w:sz w:val="18"/>
              </w:rPr>
              <w:t>609.115,06</w:t>
            </w:r>
          </w:p>
        </w:tc>
        <w:tc>
          <w:tcPr>
            <w:tcW w:w="700" w:type="dxa"/>
            <w:tcMar>
              <w:top w:w="0" w:type="dxa"/>
              <w:bottom w:w="0" w:type="dxa"/>
            </w:tcMar>
            <w:vAlign w:val="center"/>
          </w:tcPr>
          <w:p w:rsidR="007A6BC0" w:rsidRDefault="002E249B">
            <w:pPr>
              <w:keepNext/>
              <w:keepLines/>
              <w:spacing w:after="0" w:line="240" w:lineRule="auto"/>
              <w:jc w:val="right"/>
            </w:pPr>
            <w:r>
              <w:rPr>
                <w:b/>
                <w:sz w:val="18"/>
              </w:rPr>
              <w:t>84,1</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7A6BC0">
            <w:pPr>
              <w:keepNext/>
              <w:keepLines/>
              <w:spacing w:after="0" w:line="240" w:lineRule="auto"/>
            </w:pPr>
          </w:p>
        </w:tc>
        <w:tc>
          <w:tcPr>
            <w:tcW w:w="3180" w:type="dxa"/>
            <w:tcMar>
              <w:top w:w="0" w:type="dxa"/>
              <w:bottom w:w="0" w:type="dxa"/>
            </w:tcMar>
            <w:vAlign w:val="center"/>
          </w:tcPr>
          <w:p w:rsidR="007A6BC0" w:rsidRDefault="002E249B">
            <w:pPr>
              <w:keepNext/>
              <w:keepLines/>
              <w:spacing w:after="0" w:line="240" w:lineRule="auto"/>
            </w:pPr>
            <w:r>
              <w:rPr>
                <w:b/>
                <w:sz w:val="18"/>
              </w:rPr>
              <w:t>MANJAK PRIHODA I PRIMITAKA (šifre Y345-X678)</w:t>
            </w:r>
          </w:p>
        </w:tc>
        <w:tc>
          <w:tcPr>
            <w:tcW w:w="700" w:type="dxa"/>
            <w:tcMar>
              <w:top w:w="0" w:type="dxa"/>
              <w:bottom w:w="0" w:type="dxa"/>
            </w:tcMar>
            <w:vAlign w:val="center"/>
          </w:tcPr>
          <w:p w:rsidR="007A6BC0" w:rsidRDefault="002E249B">
            <w:pPr>
              <w:keepNext/>
              <w:keepLines/>
              <w:spacing w:after="0" w:line="240" w:lineRule="auto"/>
            </w:pPr>
            <w:r>
              <w:rPr>
                <w:b/>
                <w:sz w:val="18"/>
              </w:rPr>
              <w:t>Y005</w:t>
            </w:r>
          </w:p>
        </w:tc>
        <w:tc>
          <w:tcPr>
            <w:tcW w:w="1860" w:type="dxa"/>
            <w:tcMar>
              <w:top w:w="0" w:type="dxa"/>
              <w:bottom w:w="0" w:type="dxa"/>
            </w:tcMar>
            <w:vAlign w:val="center"/>
          </w:tcPr>
          <w:p w:rsidR="007A6BC0" w:rsidRDefault="002E249B">
            <w:pPr>
              <w:keepNext/>
              <w:keepLines/>
              <w:spacing w:after="0" w:line="240" w:lineRule="auto"/>
              <w:jc w:val="right"/>
            </w:pPr>
            <w:r>
              <w:rPr>
                <w:b/>
                <w:sz w:val="18"/>
              </w:rPr>
              <w:t>1.033.640,37</w:t>
            </w:r>
          </w:p>
        </w:tc>
        <w:tc>
          <w:tcPr>
            <w:tcW w:w="1860" w:type="dxa"/>
            <w:tcMar>
              <w:top w:w="0" w:type="dxa"/>
              <w:bottom w:w="0" w:type="dxa"/>
            </w:tcMar>
            <w:vAlign w:val="center"/>
          </w:tcPr>
          <w:p w:rsidR="007A6BC0" w:rsidRDefault="002E249B">
            <w:pPr>
              <w:keepNext/>
              <w:keepLines/>
              <w:spacing w:after="0" w:line="240" w:lineRule="auto"/>
              <w:jc w:val="right"/>
            </w:pPr>
            <w:r>
              <w:rPr>
                <w:b/>
                <w:sz w:val="18"/>
              </w:rPr>
              <w:t>2.351.600,65</w:t>
            </w:r>
          </w:p>
        </w:tc>
        <w:tc>
          <w:tcPr>
            <w:tcW w:w="700" w:type="dxa"/>
            <w:tcMar>
              <w:top w:w="0" w:type="dxa"/>
              <w:bottom w:w="0" w:type="dxa"/>
            </w:tcMar>
            <w:vAlign w:val="center"/>
          </w:tcPr>
          <w:p w:rsidR="007A6BC0" w:rsidRDefault="002E249B">
            <w:pPr>
              <w:keepNext/>
              <w:keepLines/>
              <w:spacing w:after="0" w:line="240" w:lineRule="auto"/>
              <w:jc w:val="right"/>
            </w:pPr>
            <w:r>
              <w:rPr>
                <w:b/>
                <w:sz w:val="18"/>
              </w:rPr>
              <w:t>227,5</w:t>
            </w:r>
          </w:p>
        </w:tc>
      </w:tr>
    </w:tbl>
    <w:p w:rsidR="007A6BC0" w:rsidRDefault="007A6BC0">
      <w:pPr>
        <w:spacing w:after="0"/>
      </w:pPr>
    </w:p>
    <w:p w:rsidR="00ED0F24" w:rsidRDefault="002E249B">
      <w:pPr>
        <w:spacing w:line="240" w:lineRule="auto"/>
        <w:jc w:val="both"/>
      </w:pPr>
      <w:r>
        <w:t xml:space="preserve">Na rezultat poslovanja u izvještajnom razdoblju utjecalo je nekoliko ključnih čimbenika: </w:t>
      </w:r>
    </w:p>
    <w:p w:rsidR="00ED0F24" w:rsidRDefault="002E249B">
      <w:pPr>
        <w:spacing w:line="240" w:lineRule="auto"/>
        <w:jc w:val="both"/>
      </w:pPr>
      <w:r>
        <w:t xml:space="preserve">1. Neostvarenje ugovorenog limita u iznosu od 1.435.023,68 eura, što je imalo izravan negativan utjecaj na poslovni rezultat. Za neizvršeni rad </w:t>
      </w:r>
      <w:r>
        <w:t xml:space="preserve">evidentirana je obveza, a prihodi su umanjeni. </w:t>
      </w:r>
    </w:p>
    <w:p w:rsidR="00ED0F24" w:rsidRDefault="002E249B" w:rsidP="00ED0F24">
      <w:pPr>
        <w:spacing w:after="0" w:line="240" w:lineRule="auto"/>
        <w:jc w:val="both"/>
      </w:pPr>
      <w:r>
        <w:lastRenderedPageBreak/>
        <w:t>2. Evidentiranje rashoda za projekt "Unapređenje kvalitete smještaja i sadržaja hotela Minerva" bez istodobne refundacije sredstava. Iako je za predmetne radove primljen predujam iz fondova Europske unije, ist</w:t>
      </w:r>
      <w:r>
        <w:t xml:space="preserve">i će biti zatvoren tek po plaćanju dobavljača, odnosno nakon odobrenja ZNS-a. Na dan 30. lipnja 2025. obveze prema izvođaču i ostalim dobavljačima (projektantski i stručni nadzor) iznose 765.294,24 eura. </w:t>
      </w:r>
    </w:p>
    <w:p w:rsidR="00ED0F24" w:rsidRDefault="002E249B" w:rsidP="00ED0F24">
      <w:pPr>
        <w:spacing w:after="0" w:line="240" w:lineRule="auto"/>
        <w:jc w:val="both"/>
      </w:pPr>
      <w:r>
        <w:t>3. Povećani rashodi za zaposlene u iznosu od 151.282</w:t>
      </w:r>
      <w:r>
        <w:t xml:space="preserve">,73 eura, za koje nije osigurano pokriće u okviru limita. </w:t>
      </w:r>
    </w:p>
    <w:p w:rsidR="00ED0F24" w:rsidRDefault="002E249B" w:rsidP="00ED0F24">
      <w:pPr>
        <w:spacing w:after="0" w:line="240" w:lineRule="auto"/>
        <w:jc w:val="both"/>
      </w:pPr>
      <w:r>
        <w:t>4. Privremeno zatvaranje objekta Minerva s danom 28. veljače 2025. zbog izvođenja radova na navedenom projektu, što je rezultiralo smanjenjem prihoda u promatranom razdoblju.</w:t>
      </w:r>
    </w:p>
    <w:p w:rsidR="007A6BC0" w:rsidRDefault="002E249B" w:rsidP="00ED0F24">
      <w:pPr>
        <w:spacing w:after="0" w:line="240" w:lineRule="auto"/>
        <w:jc w:val="both"/>
      </w:pPr>
      <w:r>
        <w:t>Da su bolnici bili dost</w:t>
      </w:r>
      <w:r>
        <w:t>upni svi smještajni kapaciteti, ugovoreni limit bi bio ostvaren, a dodatni tržišni prihodi ostvareni, što bi znatno poboljšalo financijski rezultat za prvih šest mjeseci 2025. godine.</w:t>
      </w:r>
    </w:p>
    <w:p w:rsidR="007A6BC0" w:rsidRDefault="002E249B">
      <w:r>
        <w:br/>
      </w:r>
    </w:p>
    <w:p w:rsidR="007A6BC0" w:rsidRDefault="002E249B">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w:t>
            </w:r>
            <w:r>
              <w:rPr>
                <w:b/>
                <w:sz w:val="18"/>
              </w:rPr>
              <w:t>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63</w:t>
            </w:r>
          </w:p>
        </w:tc>
        <w:tc>
          <w:tcPr>
            <w:tcW w:w="3180" w:type="dxa"/>
            <w:tcMar>
              <w:top w:w="0" w:type="dxa"/>
              <w:bottom w:w="0" w:type="dxa"/>
            </w:tcMar>
            <w:vAlign w:val="center"/>
          </w:tcPr>
          <w:p w:rsidR="007A6BC0" w:rsidRDefault="002E249B">
            <w:pPr>
              <w:keepNext/>
              <w:keepLines/>
              <w:spacing w:after="0" w:line="240" w:lineRule="auto"/>
            </w:pPr>
            <w:r>
              <w:rPr>
                <w:sz w:val="18"/>
              </w:rPr>
              <w:t>Pomoći iz inozemstva i od subjekata unutar općeg proračuna (šifre 631+632+633+634+635+636+637+638+639)</w:t>
            </w:r>
          </w:p>
        </w:tc>
        <w:tc>
          <w:tcPr>
            <w:tcW w:w="700" w:type="dxa"/>
            <w:tcMar>
              <w:top w:w="0" w:type="dxa"/>
              <w:bottom w:w="0" w:type="dxa"/>
            </w:tcMar>
            <w:vAlign w:val="center"/>
          </w:tcPr>
          <w:p w:rsidR="007A6BC0" w:rsidRDefault="002E249B">
            <w:pPr>
              <w:keepNext/>
              <w:keepLines/>
              <w:spacing w:after="0" w:line="240" w:lineRule="auto"/>
            </w:pPr>
            <w:r>
              <w:rPr>
                <w:sz w:val="18"/>
              </w:rPr>
              <w:t>63</w:t>
            </w:r>
          </w:p>
        </w:tc>
        <w:tc>
          <w:tcPr>
            <w:tcW w:w="1860" w:type="dxa"/>
            <w:tcMar>
              <w:top w:w="0" w:type="dxa"/>
              <w:bottom w:w="0" w:type="dxa"/>
            </w:tcMar>
            <w:vAlign w:val="center"/>
          </w:tcPr>
          <w:p w:rsidR="007A6BC0" w:rsidRDefault="002E249B">
            <w:pPr>
              <w:keepNext/>
              <w:keepLines/>
              <w:spacing w:after="0" w:line="240" w:lineRule="auto"/>
              <w:jc w:val="right"/>
            </w:pPr>
            <w:r>
              <w:rPr>
                <w:sz w:val="18"/>
              </w:rPr>
              <w:t>217.468,36</w:t>
            </w:r>
          </w:p>
        </w:tc>
        <w:tc>
          <w:tcPr>
            <w:tcW w:w="1860" w:type="dxa"/>
            <w:tcMar>
              <w:top w:w="0" w:type="dxa"/>
              <w:bottom w:w="0" w:type="dxa"/>
            </w:tcMar>
            <w:vAlign w:val="center"/>
          </w:tcPr>
          <w:p w:rsidR="007A6BC0" w:rsidRDefault="002E249B">
            <w:pPr>
              <w:keepNext/>
              <w:keepLines/>
              <w:spacing w:after="0" w:line="240" w:lineRule="auto"/>
              <w:jc w:val="right"/>
            </w:pPr>
            <w:r>
              <w:rPr>
                <w:sz w:val="18"/>
              </w:rPr>
              <w:t>2.444.940,37</w:t>
            </w:r>
          </w:p>
        </w:tc>
        <w:tc>
          <w:tcPr>
            <w:tcW w:w="700" w:type="dxa"/>
            <w:tcMar>
              <w:top w:w="0" w:type="dxa"/>
              <w:bottom w:w="0" w:type="dxa"/>
            </w:tcMar>
            <w:vAlign w:val="center"/>
          </w:tcPr>
          <w:p w:rsidR="007A6BC0" w:rsidRDefault="002E249B">
            <w:pPr>
              <w:keepNext/>
              <w:keepLines/>
              <w:spacing w:after="0" w:line="240" w:lineRule="auto"/>
              <w:jc w:val="right"/>
            </w:pPr>
            <w:r>
              <w:rPr>
                <w:sz w:val="18"/>
              </w:rPr>
              <w:t>1124,3</w:t>
            </w:r>
          </w:p>
        </w:tc>
      </w:tr>
    </w:tbl>
    <w:p w:rsidR="007A6BC0" w:rsidRDefault="007A6BC0">
      <w:pPr>
        <w:spacing w:after="0"/>
      </w:pPr>
    </w:p>
    <w:p w:rsidR="007A6BC0" w:rsidRDefault="002E249B">
      <w:pPr>
        <w:spacing w:line="240" w:lineRule="auto"/>
        <w:jc w:val="both"/>
      </w:pPr>
      <w:r>
        <w:t xml:space="preserve">U prvoj polovini </w:t>
      </w:r>
      <w:r>
        <w:t>poslovne 2025. godine ostvarene su pomoći u ukupnom iznosu od 2.444.940,37 eura, što predstavlja povećanje od 1.024,30% odnosno 2.227.472,01 eura u usporedbi s istim razdobljem prethodne, 2024. godine. U poslovnoj 2025. godini zabilježen je porast sredstav</w:t>
      </w:r>
      <w:r>
        <w:t>a dobivenih od Hrvatskog zavoda za zapošljavanje za financiranje plaća pripravnika medicinske struke, dobiveno je više pomoći iz proračuna koji nam nije nadležan te je evidentirano povećanje sredstava iz fondova Europske unije za sufinanciranje troškova pr</w:t>
      </w:r>
      <w:r>
        <w:t>ojekta Unapređenje kvalitete smještaja i sadržaja hotela Minerva. Istodobno je evidentirano smanjenje pomoći iz EU fondova za financiranje plaća pripravnika medicinske struke, što je posljedica manjeg broja pripravnika koji se financiraju iz navedenih sred</w:t>
      </w:r>
      <w:r>
        <w:t>stava. Također, tijekom 2025. godine ostvarene su refundacije za dežurstva te sredstva za podmirenje dobavljača lijekova i potrošnog medicinskog materijala, koje u istom razdoblju prethodne godine nisu bile evidentirane.</w:t>
      </w:r>
    </w:p>
    <w:p w:rsidR="007A6BC0" w:rsidRDefault="007A6BC0"/>
    <w:p w:rsidR="007A6BC0" w:rsidRDefault="002E249B">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w:t>
            </w:r>
            <w:r>
              <w:rPr>
                <w:b/>
                <w:sz w:val="18"/>
              </w:rPr>
              <w:t>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634</w:t>
            </w:r>
          </w:p>
        </w:tc>
        <w:tc>
          <w:tcPr>
            <w:tcW w:w="3180" w:type="dxa"/>
            <w:tcMar>
              <w:top w:w="0" w:type="dxa"/>
              <w:bottom w:w="0" w:type="dxa"/>
            </w:tcMar>
            <w:vAlign w:val="center"/>
          </w:tcPr>
          <w:p w:rsidR="007A6BC0" w:rsidRDefault="002E249B">
            <w:pPr>
              <w:keepNext/>
              <w:keepLines/>
              <w:spacing w:after="0" w:line="240" w:lineRule="auto"/>
            </w:pPr>
            <w:r>
              <w:rPr>
                <w:sz w:val="18"/>
              </w:rPr>
              <w:t>Pomoći od izvanproračunskih korisnika (šifre 6341+6342)</w:t>
            </w:r>
          </w:p>
        </w:tc>
        <w:tc>
          <w:tcPr>
            <w:tcW w:w="700" w:type="dxa"/>
            <w:tcMar>
              <w:top w:w="0" w:type="dxa"/>
              <w:bottom w:w="0" w:type="dxa"/>
            </w:tcMar>
            <w:vAlign w:val="center"/>
          </w:tcPr>
          <w:p w:rsidR="007A6BC0" w:rsidRDefault="002E249B">
            <w:pPr>
              <w:keepNext/>
              <w:keepLines/>
              <w:spacing w:after="0" w:line="240" w:lineRule="auto"/>
            </w:pPr>
            <w:r>
              <w:rPr>
                <w:sz w:val="18"/>
              </w:rPr>
              <w:t>634</w:t>
            </w:r>
          </w:p>
        </w:tc>
        <w:tc>
          <w:tcPr>
            <w:tcW w:w="1860" w:type="dxa"/>
            <w:tcMar>
              <w:top w:w="0" w:type="dxa"/>
              <w:bottom w:w="0" w:type="dxa"/>
            </w:tcMar>
            <w:vAlign w:val="center"/>
          </w:tcPr>
          <w:p w:rsidR="007A6BC0" w:rsidRDefault="002E249B">
            <w:pPr>
              <w:keepNext/>
              <w:keepLines/>
              <w:spacing w:after="0" w:line="240" w:lineRule="auto"/>
              <w:jc w:val="right"/>
            </w:pPr>
            <w:r>
              <w:rPr>
                <w:sz w:val="18"/>
              </w:rPr>
              <w:t>5.157,87</w:t>
            </w:r>
          </w:p>
        </w:tc>
        <w:tc>
          <w:tcPr>
            <w:tcW w:w="1860" w:type="dxa"/>
            <w:tcMar>
              <w:top w:w="0" w:type="dxa"/>
              <w:bottom w:w="0" w:type="dxa"/>
            </w:tcMar>
            <w:vAlign w:val="center"/>
          </w:tcPr>
          <w:p w:rsidR="007A6BC0" w:rsidRDefault="002E249B">
            <w:pPr>
              <w:keepNext/>
              <w:keepLines/>
              <w:spacing w:after="0" w:line="240" w:lineRule="auto"/>
              <w:jc w:val="right"/>
            </w:pPr>
            <w:r>
              <w:rPr>
                <w:sz w:val="18"/>
              </w:rPr>
              <w:t>12.108,19</w:t>
            </w:r>
          </w:p>
        </w:tc>
        <w:tc>
          <w:tcPr>
            <w:tcW w:w="700" w:type="dxa"/>
            <w:tcMar>
              <w:top w:w="0" w:type="dxa"/>
              <w:bottom w:w="0" w:type="dxa"/>
            </w:tcMar>
            <w:vAlign w:val="center"/>
          </w:tcPr>
          <w:p w:rsidR="007A6BC0" w:rsidRDefault="002E249B">
            <w:pPr>
              <w:keepNext/>
              <w:keepLines/>
              <w:spacing w:after="0" w:line="240" w:lineRule="auto"/>
              <w:jc w:val="right"/>
            </w:pPr>
            <w:r>
              <w:rPr>
                <w:sz w:val="18"/>
              </w:rPr>
              <w:t>234,8</w:t>
            </w:r>
          </w:p>
        </w:tc>
      </w:tr>
    </w:tbl>
    <w:p w:rsidR="007A6BC0" w:rsidRDefault="007A6BC0">
      <w:pPr>
        <w:spacing w:after="0"/>
      </w:pPr>
    </w:p>
    <w:p w:rsidR="007A6BC0" w:rsidRDefault="002E249B">
      <w:pPr>
        <w:spacing w:line="240" w:lineRule="auto"/>
        <w:jc w:val="both"/>
      </w:pPr>
      <w:r>
        <w:t xml:space="preserve">Evidentirano povećanje za 134,80% </w:t>
      </w:r>
      <w:r>
        <w:t>ili za 6.950,32 eura u odnosu na isto razdoblje prethodne godine. U poslovnoj 2025. godini dobiveno više pomoći Hrvatskog zavoda za zapošljavanje za financiranje plaća pripravnika zdravstvene struke – više pripravnika čije su plaće financirane iz navedenog</w:t>
      </w:r>
      <w:r>
        <w:t xml:space="preserve"> izvora.</w:t>
      </w:r>
    </w:p>
    <w:p w:rsidR="007A6BC0" w:rsidRDefault="007A6BC0"/>
    <w:p w:rsidR="007A6BC0" w:rsidRDefault="002E249B">
      <w:pPr>
        <w:keepNext/>
        <w:spacing w:line="240" w:lineRule="auto"/>
        <w:jc w:val="center"/>
      </w:pPr>
      <w:r>
        <w:rPr>
          <w:sz w:val="28"/>
        </w:rPr>
        <w:lastRenderedPageBreak/>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636</w:t>
            </w:r>
          </w:p>
        </w:tc>
        <w:tc>
          <w:tcPr>
            <w:tcW w:w="3180" w:type="dxa"/>
            <w:tcMar>
              <w:top w:w="0" w:type="dxa"/>
              <w:bottom w:w="0" w:type="dxa"/>
            </w:tcMar>
            <w:vAlign w:val="center"/>
          </w:tcPr>
          <w:p w:rsidR="007A6BC0" w:rsidRDefault="002E249B">
            <w:pPr>
              <w:keepNext/>
              <w:keepLines/>
              <w:spacing w:after="0" w:line="240" w:lineRule="auto"/>
            </w:pPr>
            <w:r>
              <w:rPr>
                <w:sz w:val="18"/>
              </w:rPr>
              <w:t xml:space="preserve">Pomoći proračunskim korisnicima iz proračuna koji im nije nadležan (šifre </w:t>
            </w:r>
            <w:r>
              <w:rPr>
                <w:sz w:val="18"/>
              </w:rPr>
              <w:t>6361+6362)</w:t>
            </w:r>
          </w:p>
        </w:tc>
        <w:tc>
          <w:tcPr>
            <w:tcW w:w="700" w:type="dxa"/>
            <w:tcMar>
              <w:top w:w="0" w:type="dxa"/>
              <w:bottom w:w="0" w:type="dxa"/>
            </w:tcMar>
            <w:vAlign w:val="center"/>
          </w:tcPr>
          <w:p w:rsidR="007A6BC0" w:rsidRDefault="002E249B">
            <w:pPr>
              <w:keepNext/>
              <w:keepLines/>
              <w:spacing w:after="0" w:line="240" w:lineRule="auto"/>
            </w:pPr>
            <w:r>
              <w:rPr>
                <w:sz w:val="18"/>
              </w:rPr>
              <w:t>636</w:t>
            </w:r>
          </w:p>
        </w:tc>
        <w:tc>
          <w:tcPr>
            <w:tcW w:w="1860" w:type="dxa"/>
            <w:tcMar>
              <w:top w:w="0" w:type="dxa"/>
              <w:bottom w:w="0" w:type="dxa"/>
            </w:tcMar>
            <w:vAlign w:val="center"/>
          </w:tcPr>
          <w:p w:rsidR="007A6BC0" w:rsidRDefault="002E249B">
            <w:pPr>
              <w:keepNext/>
              <w:keepLines/>
              <w:spacing w:after="0" w:line="240" w:lineRule="auto"/>
              <w:jc w:val="right"/>
            </w:pPr>
            <w:r>
              <w:rPr>
                <w:sz w:val="18"/>
              </w:rPr>
              <w:t>27.823,25</w:t>
            </w:r>
          </w:p>
        </w:tc>
        <w:tc>
          <w:tcPr>
            <w:tcW w:w="1860" w:type="dxa"/>
            <w:tcMar>
              <w:top w:w="0" w:type="dxa"/>
              <w:bottom w:w="0" w:type="dxa"/>
            </w:tcMar>
            <w:vAlign w:val="center"/>
          </w:tcPr>
          <w:p w:rsidR="007A6BC0" w:rsidRDefault="002E249B">
            <w:pPr>
              <w:keepNext/>
              <w:keepLines/>
              <w:spacing w:after="0" w:line="240" w:lineRule="auto"/>
              <w:jc w:val="right"/>
            </w:pPr>
            <w:r>
              <w:rPr>
                <w:sz w:val="18"/>
              </w:rPr>
              <w:t>88.552,03</w:t>
            </w:r>
          </w:p>
        </w:tc>
        <w:tc>
          <w:tcPr>
            <w:tcW w:w="700" w:type="dxa"/>
            <w:tcMar>
              <w:top w:w="0" w:type="dxa"/>
              <w:bottom w:w="0" w:type="dxa"/>
            </w:tcMar>
            <w:vAlign w:val="center"/>
          </w:tcPr>
          <w:p w:rsidR="007A6BC0" w:rsidRDefault="002E249B">
            <w:pPr>
              <w:keepNext/>
              <w:keepLines/>
              <w:spacing w:after="0" w:line="240" w:lineRule="auto"/>
              <w:jc w:val="right"/>
            </w:pPr>
            <w:r>
              <w:rPr>
                <w:sz w:val="18"/>
              </w:rPr>
              <w:t>318,3</w:t>
            </w:r>
          </w:p>
        </w:tc>
      </w:tr>
    </w:tbl>
    <w:p w:rsidR="007A6BC0" w:rsidRDefault="007A6BC0">
      <w:pPr>
        <w:spacing w:after="0"/>
      </w:pPr>
    </w:p>
    <w:p w:rsidR="007A6BC0" w:rsidRDefault="002E249B">
      <w:pPr>
        <w:spacing w:line="240" w:lineRule="auto"/>
        <w:jc w:val="both"/>
      </w:pPr>
      <w:r>
        <w:t>Evidentirano povećanje za 218,30% ili za 60.728,78 eura u odnosu na isto razdoblje prethodne godine.</w:t>
      </w:r>
    </w:p>
    <w:p w:rsidR="007A6BC0" w:rsidRDefault="007A6BC0"/>
    <w:p w:rsidR="007A6BC0" w:rsidRDefault="002E249B">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w:t>
            </w:r>
            <w:r>
              <w:rPr>
                <w:b/>
                <w:sz w:val="18"/>
              </w:rPr>
              <w:t xml:space="preserve">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6361</w:t>
            </w:r>
          </w:p>
        </w:tc>
        <w:tc>
          <w:tcPr>
            <w:tcW w:w="3180" w:type="dxa"/>
            <w:tcMar>
              <w:top w:w="0" w:type="dxa"/>
              <w:bottom w:w="0" w:type="dxa"/>
            </w:tcMar>
            <w:vAlign w:val="center"/>
          </w:tcPr>
          <w:p w:rsidR="007A6BC0" w:rsidRDefault="002E249B">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rsidR="007A6BC0" w:rsidRDefault="002E249B">
            <w:pPr>
              <w:keepNext/>
              <w:keepLines/>
              <w:spacing w:after="0" w:line="240" w:lineRule="auto"/>
            </w:pPr>
            <w:r>
              <w:rPr>
                <w:sz w:val="18"/>
              </w:rPr>
              <w:t>6361</w:t>
            </w:r>
          </w:p>
        </w:tc>
        <w:tc>
          <w:tcPr>
            <w:tcW w:w="1860" w:type="dxa"/>
            <w:tcMar>
              <w:top w:w="0" w:type="dxa"/>
              <w:bottom w:w="0" w:type="dxa"/>
            </w:tcMar>
            <w:vAlign w:val="center"/>
          </w:tcPr>
          <w:p w:rsidR="007A6BC0" w:rsidRDefault="002E249B">
            <w:pPr>
              <w:keepNext/>
              <w:keepLines/>
              <w:spacing w:after="0" w:line="240" w:lineRule="auto"/>
              <w:jc w:val="right"/>
            </w:pPr>
            <w:r>
              <w:rPr>
                <w:sz w:val="18"/>
              </w:rPr>
              <w:t>0,00</w:t>
            </w:r>
          </w:p>
        </w:tc>
        <w:tc>
          <w:tcPr>
            <w:tcW w:w="1860" w:type="dxa"/>
            <w:tcMar>
              <w:top w:w="0" w:type="dxa"/>
              <w:bottom w:w="0" w:type="dxa"/>
            </w:tcMar>
            <w:vAlign w:val="center"/>
          </w:tcPr>
          <w:p w:rsidR="007A6BC0" w:rsidRDefault="002E249B">
            <w:pPr>
              <w:keepNext/>
              <w:keepLines/>
              <w:spacing w:after="0" w:line="240" w:lineRule="auto"/>
              <w:jc w:val="right"/>
            </w:pPr>
            <w:r>
              <w:rPr>
                <w:sz w:val="18"/>
              </w:rPr>
              <w:t>88.552,03</w:t>
            </w:r>
          </w:p>
        </w:tc>
        <w:tc>
          <w:tcPr>
            <w:tcW w:w="700" w:type="dxa"/>
            <w:tcMar>
              <w:top w:w="0" w:type="dxa"/>
              <w:bottom w:w="0" w:type="dxa"/>
            </w:tcMar>
            <w:vAlign w:val="center"/>
          </w:tcPr>
          <w:p w:rsidR="007A6BC0" w:rsidRDefault="002E249B">
            <w:pPr>
              <w:keepNext/>
              <w:keepLines/>
              <w:spacing w:after="0" w:line="240" w:lineRule="auto"/>
              <w:jc w:val="right"/>
            </w:pPr>
            <w:r>
              <w:rPr>
                <w:sz w:val="18"/>
              </w:rPr>
              <w:t>-</w:t>
            </w:r>
          </w:p>
        </w:tc>
      </w:tr>
    </w:tbl>
    <w:p w:rsidR="007A6BC0" w:rsidRDefault="007A6BC0">
      <w:pPr>
        <w:spacing w:after="0"/>
      </w:pPr>
    </w:p>
    <w:p w:rsidR="007A6BC0" w:rsidRDefault="002E249B">
      <w:pPr>
        <w:spacing w:line="240" w:lineRule="auto"/>
        <w:jc w:val="both"/>
      </w:pPr>
      <w:r>
        <w:t>Iz Državnog proračuna evidentirana su sredstva u iznosu 2.906,03 eura za dežurstvo djelatnice bolnice</w:t>
      </w:r>
      <w:r>
        <w:t xml:space="preserve"> (na specijalizaciji u KBC Zagreb) te sredstva za podmirenje dobavljača lijekova i potrošnog medicinskog materijala u iznosu 85.646,00 eura.  U istom razdoblju prethodne godine nema evidentiranih pomoći.</w:t>
      </w:r>
    </w:p>
    <w:p w:rsidR="007A6BC0" w:rsidRDefault="007A6BC0"/>
    <w:p w:rsidR="007A6BC0" w:rsidRDefault="002E249B">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6362</w:t>
            </w:r>
          </w:p>
        </w:tc>
        <w:tc>
          <w:tcPr>
            <w:tcW w:w="3180" w:type="dxa"/>
            <w:tcMar>
              <w:top w:w="0" w:type="dxa"/>
              <w:bottom w:w="0" w:type="dxa"/>
            </w:tcMar>
            <w:vAlign w:val="center"/>
          </w:tcPr>
          <w:p w:rsidR="007A6BC0" w:rsidRDefault="002E249B">
            <w:pPr>
              <w:keepNext/>
              <w:keepLines/>
              <w:spacing w:after="0" w:line="240" w:lineRule="auto"/>
            </w:pPr>
            <w:r>
              <w:rPr>
                <w:sz w:val="18"/>
              </w:rPr>
              <w:t>Kapitalne pomoći proračunskim korisnicima iz proračuna koji im nije nadležan</w:t>
            </w:r>
          </w:p>
        </w:tc>
        <w:tc>
          <w:tcPr>
            <w:tcW w:w="700" w:type="dxa"/>
            <w:tcMar>
              <w:top w:w="0" w:type="dxa"/>
              <w:bottom w:w="0" w:type="dxa"/>
            </w:tcMar>
            <w:vAlign w:val="center"/>
          </w:tcPr>
          <w:p w:rsidR="007A6BC0" w:rsidRDefault="002E249B">
            <w:pPr>
              <w:keepNext/>
              <w:keepLines/>
              <w:spacing w:after="0" w:line="240" w:lineRule="auto"/>
            </w:pPr>
            <w:r>
              <w:rPr>
                <w:sz w:val="18"/>
              </w:rPr>
              <w:t>6362</w:t>
            </w:r>
          </w:p>
        </w:tc>
        <w:tc>
          <w:tcPr>
            <w:tcW w:w="1860" w:type="dxa"/>
            <w:tcMar>
              <w:top w:w="0" w:type="dxa"/>
              <w:bottom w:w="0" w:type="dxa"/>
            </w:tcMar>
            <w:vAlign w:val="center"/>
          </w:tcPr>
          <w:p w:rsidR="007A6BC0" w:rsidRDefault="002E249B">
            <w:pPr>
              <w:keepNext/>
              <w:keepLines/>
              <w:spacing w:after="0" w:line="240" w:lineRule="auto"/>
              <w:jc w:val="right"/>
            </w:pPr>
            <w:r>
              <w:rPr>
                <w:sz w:val="18"/>
              </w:rPr>
              <w:t>27.823,25</w:t>
            </w:r>
          </w:p>
        </w:tc>
        <w:tc>
          <w:tcPr>
            <w:tcW w:w="1860" w:type="dxa"/>
            <w:tcMar>
              <w:top w:w="0" w:type="dxa"/>
              <w:bottom w:w="0" w:type="dxa"/>
            </w:tcMar>
            <w:vAlign w:val="center"/>
          </w:tcPr>
          <w:p w:rsidR="007A6BC0" w:rsidRDefault="002E249B">
            <w:pPr>
              <w:keepNext/>
              <w:keepLines/>
              <w:spacing w:after="0" w:line="240" w:lineRule="auto"/>
              <w:jc w:val="right"/>
            </w:pPr>
            <w:r>
              <w:rPr>
                <w:sz w:val="18"/>
              </w:rPr>
              <w:t>0,00</w:t>
            </w:r>
          </w:p>
        </w:tc>
        <w:tc>
          <w:tcPr>
            <w:tcW w:w="700" w:type="dxa"/>
            <w:tcMar>
              <w:top w:w="0" w:type="dxa"/>
              <w:bottom w:w="0" w:type="dxa"/>
            </w:tcMar>
            <w:vAlign w:val="center"/>
          </w:tcPr>
          <w:p w:rsidR="007A6BC0" w:rsidRDefault="002E249B">
            <w:pPr>
              <w:keepNext/>
              <w:keepLines/>
              <w:spacing w:after="0" w:line="240" w:lineRule="auto"/>
              <w:jc w:val="right"/>
            </w:pPr>
            <w:r>
              <w:rPr>
                <w:sz w:val="18"/>
              </w:rPr>
              <w:t>0</w:t>
            </w:r>
          </w:p>
        </w:tc>
      </w:tr>
    </w:tbl>
    <w:p w:rsidR="007A6BC0" w:rsidRDefault="007A6BC0">
      <w:pPr>
        <w:spacing w:after="0"/>
      </w:pPr>
    </w:p>
    <w:p w:rsidR="007A6BC0" w:rsidRDefault="002E249B">
      <w:pPr>
        <w:spacing w:line="240" w:lineRule="auto"/>
        <w:jc w:val="both"/>
      </w:pPr>
      <w:r>
        <w:t xml:space="preserve">U istom razdoblju poslovne 2024. </w:t>
      </w:r>
      <w:r>
        <w:t>godine evidentirana je refundacija sredstava Ministarstva zdravstva na temelju sklopljenog ugovora o dodjeli potpore male vrijednosti za projekt „Unaprjeđenje i podizanje kvalitete pružanja zdravstvenih usluga u zdravstvenom turizmu u Specijalnoj bolnici V</w:t>
      </w:r>
      <w:r>
        <w:t xml:space="preserve">araždinske Toplice u iznosu od 27.823,25 eura – nabavljena medicinska oprema (aparati za limfnu drenažu, </w:t>
      </w:r>
      <w:proofErr w:type="spellStart"/>
      <w:r>
        <w:t>stabilometrijska</w:t>
      </w:r>
      <w:proofErr w:type="spellEnd"/>
      <w:r>
        <w:t xml:space="preserve"> platforma te multifunkcionalni aparat za elektroterapiju s ultrazvukom). Poslovne 2025. godine nema evidentiranih primljenih pomoći.</w:t>
      </w:r>
    </w:p>
    <w:p w:rsidR="007A6BC0" w:rsidRDefault="007A6BC0"/>
    <w:p w:rsidR="007A6BC0" w:rsidRDefault="002E249B">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638</w:t>
            </w:r>
          </w:p>
        </w:tc>
        <w:tc>
          <w:tcPr>
            <w:tcW w:w="3180" w:type="dxa"/>
            <w:tcMar>
              <w:top w:w="0" w:type="dxa"/>
              <w:bottom w:w="0" w:type="dxa"/>
            </w:tcMar>
            <w:vAlign w:val="center"/>
          </w:tcPr>
          <w:p w:rsidR="007A6BC0" w:rsidRDefault="002E249B">
            <w:pPr>
              <w:keepNext/>
              <w:keepLines/>
              <w:spacing w:after="0" w:line="240" w:lineRule="auto"/>
            </w:pPr>
            <w:r>
              <w:rPr>
                <w:sz w:val="18"/>
              </w:rPr>
              <w:t>Pomoći temeljem prijenosa EU sredstava (šifre 6381+6382)</w:t>
            </w:r>
          </w:p>
        </w:tc>
        <w:tc>
          <w:tcPr>
            <w:tcW w:w="700" w:type="dxa"/>
            <w:tcMar>
              <w:top w:w="0" w:type="dxa"/>
              <w:bottom w:w="0" w:type="dxa"/>
            </w:tcMar>
            <w:vAlign w:val="center"/>
          </w:tcPr>
          <w:p w:rsidR="007A6BC0" w:rsidRDefault="002E249B">
            <w:pPr>
              <w:keepNext/>
              <w:keepLines/>
              <w:spacing w:after="0" w:line="240" w:lineRule="auto"/>
            </w:pPr>
            <w:r>
              <w:rPr>
                <w:sz w:val="18"/>
              </w:rPr>
              <w:t>638</w:t>
            </w:r>
          </w:p>
        </w:tc>
        <w:tc>
          <w:tcPr>
            <w:tcW w:w="1860" w:type="dxa"/>
            <w:tcMar>
              <w:top w:w="0" w:type="dxa"/>
              <w:bottom w:w="0" w:type="dxa"/>
            </w:tcMar>
            <w:vAlign w:val="center"/>
          </w:tcPr>
          <w:p w:rsidR="007A6BC0" w:rsidRDefault="002E249B">
            <w:pPr>
              <w:keepNext/>
              <w:keepLines/>
              <w:spacing w:after="0" w:line="240" w:lineRule="auto"/>
              <w:jc w:val="right"/>
            </w:pPr>
            <w:r>
              <w:rPr>
                <w:sz w:val="18"/>
              </w:rPr>
              <w:t>184.487,24</w:t>
            </w:r>
          </w:p>
        </w:tc>
        <w:tc>
          <w:tcPr>
            <w:tcW w:w="1860" w:type="dxa"/>
            <w:tcMar>
              <w:top w:w="0" w:type="dxa"/>
              <w:bottom w:w="0" w:type="dxa"/>
            </w:tcMar>
            <w:vAlign w:val="center"/>
          </w:tcPr>
          <w:p w:rsidR="007A6BC0" w:rsidRDefault="002E249B">
            <w:pPr>
              <w:keepNext/>
              <w:keepLines/>
              <w:spacing w:after="0" w:line="240" w:lineRule="auto"/>
              <w:jc w:val="right"/>
            </w:pPr>
            <w:r>
              <w:rPr>
                <w:sz w:val="18"/>
              </w:rPr>
              <w:t>2.344.280,15</w:t>
            </w:r>
          </w:p>
        </w:tc>
        <w:tc>
          <w:tcPr>
            <w:tcW w:w="700" w:type="dxa"/>
            <w:tcMar>
              <w:top w:w="0" w:type="dxa"/>
              <w:bottom w:w="0" w:type="dxa"/>
            </w:tcMar>
            <w:vAlign w:val="center"/>
          </w:tcPr>
          <w:p w:rsidR="007A6BC0" w:rsidRDefault="002E249B">
            <w:pPr>
              <w:keepNext/>
              <w:keepLines/>
              <w:spacing w:after="0" w:line="240" w:lineRule="auto"/>
              <w:jc w:val="right"/>
            </w:pPr>
            <w:r>
              <w:rPr>
                <w:sz w:val="18"/>
              </w:rPr>
              <w:t>1270,7</w:t>
            </w:r>
          </w:p>
        </w:tc>
      </w:tr>
    </w:tbl>
    <w:p w:rsidR="007A6BC0" w:rsidRDefault="007A6BC0">
      <w:pPr>
        <w:spacing w:after="0"/>
      </w:pPr>
    </w:p>
    <w:p w:rsidR="007A6BC0" w:rsidRDefault="002E249B">
      <w:pPr>
        <w:spacing w:line="240" w:lineRule="auto"/>
        <w:jc w:val="both"/>
      </w:pPr>
      <w:r>
        <w:t>Evidentirano povećanje za 1.170,70% ili za 2.159.792,91 eura u odnosu na prethodnu godinu.</w:t>
      </w:r>
    </w:p>
    <w:p w:rsidR="007A6BC0" w:rsidRDefault="007A6BC0"/>
    <w:p w:rsidR="007A6BC0" w:rsidRDefault="002E249B">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6381</w:t>
            </w:r>
          </w:p>
        </w:tc>
        <w:tc>
          <w:tcPr>
            <w:tcW w:w="3180" w:type="dxa"/>
            <w:tcMar>
              <w:top w:w="0" w:type="dxa"/>
              <w:bottom w:w="0" w:type="dxa"/>
            </w:tcMar>
            <w:vAlign w:val="center"/>
          </w:tcPr>
          <w:p w:rsidR="007A6BC0" w:rsidRDefault="002E249B">
            <w:pPr>
              <w:keepNext/>
              <w:keepLines/>
              <w:spacing w:after="0" w:line="240" w:lineRule="auto"/>
            </w:pPr>
            <w:r>
              <w:rPr>
                <w:sz w:val="18"/>
              </w:rPr>
              <w:t>Tekuće pomoći temeljem prijenosa EU sredstava</w:t>
            </w:r>
          </w:p>
        </w:tc>
        <w:tc>
          <w:tcPr>
            <w:tcW w:w="700" w:type="dxa"/>
            <w:tcMar>
              <w:top w:w="0" w:type="dxa"/>
              <w:bottom w:w="0" w:type="dxa"/>
            </w:tcMar>
            <w:vAlign w:val="center"/>
          </w:tcPr>
          <w:p w:rsidR="007A6BC0" w:rsidRDefault="002E249B">
            <w:pPr>
              <w:keepNext/>
              <w:keepLines/>
              <w:spacing w:after="0" w:line="240" w:lineRule="auto"/>
            </w:pPr>
            <w:r>
              <w:rPr>
                <w:sz w:val="18"/>
              </w:rPr>
              <w:t>6381</w:t>
            </w:r>
          </w:p>
        </w:tc>
        <w:tc>
          <w:tcPr>
            <w:tcW w:w="1860" w:type="dxa"/>
            <w:tcMar>
              <w:top w:w="0" w:type="dxa"/>
              <w:bottom w:w="0" w:type="dxa"/>
            </w:tcMar>
            <w:vAlign w:val="center"/>
          </w:tcPr>
          <w:p w:rsidR="007A6BC0" w:rsidRDefault="002E249B">
            <w:pPr>
              <w:keepNext/>
              <w:keepLines/>
              <w:spacing w:after="0" w:line="240" w:lineRule="auto"/>
              <w:jc w:val="right"/>
            </w:pPr>
            <w:r>
              <w:rPr>
                <w:sz w:val="18"/>
              </w:rPr>
              <w:t>179.722,56</w:t>
            </w:r>
          </w:p>
        </w:tc>
        <w:tc>
          <w:tcPr>
            <w:tcW w:w="1860" w:type="dxa"/>
            <w:tcMar>
              <w:top w:w="0" w:type="dxa"/>
              <w:bottom w:w="0" w:type="dxa"/>
            </w:tcMar>
            <w:vAlign w:val="center"/>
          </w:tcPr>
          <w:p w:rsidR="007A6BC0" w:rsidRDefault="002E249B">
            <w:pPr>
              <w:keepNext/>
              <w:keepLines/>
              <w:spacing w:after="0" w:line="240" w:lineRule="auto"/>
              <w:jc w:val="right"/>
            </w:pPr>
            <w:r>
              <w:rPr>
                <w:sz w:val="18"/>
              </w:rPr>
              <w:t>86.308,66</w:t>
            </w:r>
          </w:p>
        </w:tc>
        <w:tc>
          <w:tcPr>
            <w:tcW w:w="700" w:type="dxa"/>
            <w:tcMar>
              <w:top w:w="0" w:type="dxa"/>
              <w:bottom w:w="0" w:type="dxa"/>
            </w:tcMar>
            <w:vAlign w:val="center"/>
          </w:tcPr>
          <w:p w:rsidR="007A6BC0" w:rsidRDefault="002E249B">
            <w:pPr>
              <w:keepNext/>
              <w:keepLines/>
              <w:spacing w:after="0" w:line="240" w:lineRule="auto"/>
              <w:jc w:val="right"/>
            </w:pPr>
            <w:r>
              <w:rPr>
                <w:sz w:val="18"/>
              </w:rPr>
              <w:t>48,0</w:t>
            </w:r>
          </w:p>
        </w:tc>
      </w:tr>
    </w:tbl>
    <w:p w:rsidR="007A6BC0" w:rsidRDefault="007A6BC0">
      <w:pPr>
        <w:spacing w:after="0"/>
      </w:pPr>
    </w:p>
    <w:p w:rsidR="007A6BC0" w:rsidRDefault="002E249B">
      <w:pPr>
        <w:spacing w:line="240" w:lineRule="auto"/>
        <w:jc w:val="both"/>
      </w:pPr>
      <w:r>
        <w:t xml:space="preserve">Evidentirano smanjenje za 52,00% ili za 93.413,90 eura, a odnosi se na sredstva za financiranje plaća pripravnika medicinske struke (prethodne godine bilo više </w:t>
      </w:r>
      <w:r>
        <w:t>pripravnika kojima je plaća financirana iz navedenog izvora).</w:t>
      </w:r>
    </w:p>
    <w:p w:rsidR="007A6BC0" w:rsidRDefault="007A6BC0"/>
    <w:p w:rsidR="007A6BC0" w:rsidRDefault="002E249B">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6382</w:t>
            </w:r>
          </w:p>
        </w:tc>
        <w:tc>
          <w:tcPr>
            <w:tcW w:w="3180" w:type="dxa"/>
            <w:tcMar>
              <w:top w:w="0" w:type="dxa"/>
              <w:bottom w:w="0" w:type="dxa"/>
            </w:tcMar>
            <w:vAlign w:val="center"/>
          </w:tcPr>
          <w:p w:rsidR="007A6BC0" w:rsidRDefault="002E249B">
            <w:pPr>
              <w:keepNext/>
              <w:keepLines/>
              <w:spacing w:after="0" w:line="240" w:lineRule="auto"/>
            </w:pPr>
            <w:r>
              <w:rPr>
                <w:sz w:val="18"/>
              </w:rPr>
              <w:t>Kapitalne pomoći temeljem</w:t>
            </w:r>
            <w:r>
              <w:rPr>
                <w:sz w:val="18"/>
              </w:rPr>
              <w:t xml:space="preserve"> prijenosa EU sredstava</w:t>
            </w:r>
          </w:p>
        </w:tc>
        <w:tc>
          <w:tcPr>
            <w:tcW w:w="700" w:type="dxa"/>
            <w:tcMar>
              <w:top w:w="0" w:type="dxa"/>
              <w:bottom w:w="0" w:type="dxa"/>
            </w:tcMar>
            <w:vAlign w:val="center"/>
          </w:tcPr>
          <w:p w:rsidR="007A6BC0" w:rsidRDefault="002E249B">
            <w:pPr>
              <w:keepNext/>
              <w:keepLines/>
              <w:spacing w:after="0" w:line="240" w:lineRule="auto"/>
            </w:pPr>
            <w:r>
              <w:rPr>
                <w:sz w:val="18"/>
              </w:rPr>
              <w:t>6382</w:t>
            </w:r>
          </w:p>
        </w:tc>
        <w:tc>
          <w:tcPr>
            <w:tcW w:w="1860" w:type="dxa"/>
            <w:tcMar>
              <w:top w:w="0" w:type="dxa"/>
              <w:bottom w:w="0" w:type="dxa"/>
            </w:tcMar>
            <w:vAlign w:val="center"/>
          </w:tcPr>
          <w:p w:rsidR="007A6BC0" w:rsidRDefault="002E249B">
            <w:pPr>
              <w:keepNext/>
              <w:keepLines/>
              <w:spacing w:after="0" w:line="240" w:lineRule="auto"/>
              <w:jc w:val="right"/>
            </w:pPr>
            <w:r>
              <w:rPr>
                <w:sz w:val="18"/>
              </w:rPr>
              <w:t>4.764,68</w:t>
            </w:r>
          </w:p>
        </w:tc>
        <w:tc>
          <w:tcPr>
            <w:tcW w:w="1860" w:type="dxa"/>
            <w:tcMar>
              <w:top w:w="0" w:type="dxa"/>
              <w:bottom w:w="0" w:type="dxa"/>
            </w:tcMar>
            <w:vAlign w:val="center"/>
          </w:tcPr>
          <w:p w:rsidR="007A6BC0" w:rsidRDefault="002E249B">
            <w:pPr>
              <w:keepNext/>
              <w:keepLines/>
              <w:spacing w:after="0" w:line="240" w:lineRule="auto"/>
              <w:jc w:val="right"/>
            </w:pPr>
            <w:r>
              <w:rPr>
                <w:sz w:val="18"/>
              </w:rPr>
              <w:t>2.257.971,49</w:t>
            </w:r>
          </w:p>
        </w:tc>
        <w:tc>
          <w:tcPr>
            <w:tcW w:w="700" w:type="dxa"/>
            <w:tcMar>
              <w:top w:w="0" w:type="dxa"/>
              <w:bottom w:w="0" w:type="dxa"/>
            </w:tcMar>
            <w:vAlign w:val="center"/>
          </w:tcPr>
          <w:p w:rsidR="007A6BC0" w:rsidRDefault="002E249B">
            <w:pPr>
              <w:keepNext/>
              <w:keepLines/>
              <w:spacing w:after="0" w:line="240" w:lineRule="auto"/>
              <w:jc w:val="right"/>
            </w:pPr>
            <w:r>
              <w:rPr>
                <w:sz w:val="18"/>
              </w:rPr>
              <w:t>&gt;&gt;100</w:t>
            </w:r>
          </w:p>
        </w:tc>
      </w:tr>
    </w:tbl>
    <w:p w:rsidR="007A6BC0" w:rsidRDefault="007A6BC0">
      <w:pPr>
        <w:spacing w:after="0"/>
      </w:pPr>
    </w:p>
    <w:p w:rsidR="007A6BC0" w:rsidRDefault="002E249B">
      <w:pPr>
        <w:spacing w:line="240" w:lineRule="auto"/>
        <w:jc w:val="both"/>
      </w:pPr>
      <w:r>
        <w:t xml:space="preserve">Evidentirano povećanje za 47.389,78% ili za 2.253.206,81 eura u odnosu na isto razdoblje prethodne godine. U poslovnoj 2024. godini evidentirane su pomoći temeljem prijenosa povrata u iznosu </w:t>
      </w:r>
      <w:r>
        <w:t>4.764,68 eura prvotno uskraćenih EU sredstava temeljem Odluke o nepravilnosti u postupku javne nabave stručnog nadzora za energetsku obnovu, dok se u poslovnoj 2025. godini evidentirani prihodi odnose na doznačena sredstva iz Fondova EU za sufinanciranje p</w:t>
      </w:r>
      <w:r>
        <w:t>rojekta „Unapređenje kvalitete smještaja i sadržaja hotela Minerva“ u iznosu 2.257.971,49 eura.</w:t>
      </w:r>
    </w:p>
    <w:p w:rsidR="007A6BC0" w:rsidRDefault="007A6BC0"/>
    <w:p w:rsidR="007A6BC0" w:rsidRDefault="002E249B">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Indeks </w:t>
            </w:r>
            <w:r>
              <w:rPr>
                <w:b/>
                <w:sz w:val="18"/>
              </w:rPr>
              <w:t>(%)</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64</w:t>
            </w:r>
          </w:p>
        </w:tc>
        <w:tc>
          <w:tcPr>
            <w:tcW w:w="3180" w:type="dxa"/>
            <w:tcMar>
              <w:top w:w="0" w:type="dxa"/>
              <w:bottom w:w="0" w:type="dxa"/>
            </w:tcMar>
            <w:vAlign w:val="center"/>
          </w:tcPr>
          <w:p w:rsidR="007A6BC0" w:rsidRDefault="002E249B">
            <w:pPr>
              <w:keepNext/>
              <w:keepLines/>
              <w:spacing w:after="0" w:line="240" w:lineRule="auto"/>
            </w:pPr>
            <w:r>
              <w:rPr>
                <w:sz w:val="18"/>
              </w:rPr>
              <w:t>Prihodi od imovine (šifre 641+642+643)</w:t>
            </w:r>
          </w:p>
        </w:tc>
        <w:tc>
          <w:tcPr>
            <w:tcW w:w="700" w:type="dxa"/>
            <w:tcMar>
              <w:top w:w="0" w:type="dxa"/>
              <w:bottom w:w="0" w:type="dxa"/>
            </w:tcMar>
            <w:vAlign w:val="center"/>
          </w:tcPr>
          <w:p w:rsidR="007A6BC0" w:rsidRDefault="002E249B">
            <w:pPr>
              <w:keepNext/>
              <w:keepLines/>
              <w:spacing w:after="0" w:line="240" w:lineRule="auto"/>
            </w:pPr>
            <w:r>
              <w:rPr>
                <w:sz w:val="18"/>
              </w:rPr>
              <w:t>64</w:t>
            </w:r>
          </w:p>
        </w:tc>
        <w:tc>
          <w:tcPr>
            <w:tcW w:w="1860" w:type="dxa"/>
            <w:tcMar>
              <w:top w:w="0" w:type="dxa"/>
              <w:bottom w:w="0" w:type="dxa"/>
            </w:tcMar>
            <w:vAlign w:val="center"/>
          </w:tcPr>
          <w:p w:rsidR="007A6BC0" w:rsidRDefault="002E249B">
            <w:pPr>
              <w:keepNext/>
              <w:keepLines/>
              <w:spacing w:after="0" w:line="240" w:lineRule="auto"/>
              <w:jc w:val="right"/>
            </w:pPr>
            <w:r>
              <w:rPr>
                <w:sz w:val="18"/>
              </w:rPr>
              <w:t>1.386,96</w:t>
            </w:r>
          </w:p>
        </w:tc>
        <w:tc>
          <w:tcPr>
            <w:tcW w:w="1860" w:type="dxa"/>
            <w:tcMar>
              <w:top w:w="0" w:type="dxa"/>
              <w:bottom w:w="0" w:type="dxa"/>
            </w:tcMar>
            <w:vAlign w:val="center"/>
          </w:tcPr>
          <w:p w:rsidR="007A6BC0" w:rsidRDefault="002E249B">
            <w:pPr>
              <w:keepNext/>
              <w:keepLines/>
              <w:spacing w:after="0" w:line="240" w:lineRule="auto"/>
              <w:jc w:val="right"/>
            </w:pPr>
            <w:r>
              <w:rPr>
                <w:sz w:val="18"/>
              </w:rPr>
              <w:t>2.704,97</w:t>
            </w:r>
          </w:p>
        </w:tc>
        <w:tc>
          <w:tcPr>
            <w:tcW w:w="700" w:type="dxa"/>
            <w:tcMar>
              <w:top w:w="0" w:type="dxa"/>
              <w:bottom w:w="0" w:type="dxa"/>
            </w:tcMar>
            <w:vAlign w:val="center"/>
          </w:tcPr>
          <w:p w:rsidR="007A6BC0" w:rsidRDefault="002E249B">
            <w:pPr>
              <w:keepNext/>
              <w:keepLines/>
              <w:spacing w:after="0" w:line="240" w:lineRule="auto"/>
              <w:jc w:val="right"/>
            </w:pPr>
            <w:r>
              <w:rPr>
                <w:sz w:val="18"/>
              </w:rPr>
              <w:t>195,0</w:t>
            </w:r>
          </w:p>
        </w:tc>
      </w:tr>
    </w:tbl>
    <w:p w:rsidR="007A6BC0" w:rsidRDefault="007A6BC0">
      <w:pPr>
        <w:spacing w:after="0"/>
      </w:pPr>
    </w:p>
    <w:p w:rsidR="007A6BC0" w:rsidRDefault="002E249B">
      <w:pPr>
        <w:spacing w:line="240" w:lineRule="auto"/>
        <w:jc w:val="both"/>
      </w:pPr>
      <w:r>
        <w:t>Ostvareni u iznosu 2.704,97 eura, veći su u odnosu na isto razdoblje prethodne godine za 95,00 % ili za 1.318,01 eura.</w:t>
      </w:r>
    </w:p>
    <w:p w:rsidR="007A6BC0" w:rsidRDefault="007A6BC0"/>
    <w:p w:rsidR="007A6BC0" w:rsidRDefault="002E249B">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w:t>
            </w:r>
            <w:r>
              <w:rPr>
                <w:b/>
                <w:sz w:val="18"/>
              </w:rPr>
              <w:t xml:space="preserve">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6413</w:t>
            </w:r>
          </w:p>
        </w:tc>
        <w:tc>
          <w:tcPr>
            <w:tcW w:w="3180" w:type="dxa"/>
            <w:tcMar>
              <w:top w:w="0" w:type="dxa"/>
              <w:bottom w:w="0" w:type="dxa"/>
            </w:tcMar>
            <w:vAlign w:val="center"/>
          </w:tcPr>
          <w:p w:rsidR="007A6BC0" w:rsidRDefault="002E249B">
            <w:pPr>
              <w:keepNext/>
              <w:keepLines/>
              <w:spacing w:after="0" w:line="240" w:lineRule="auto"/>
            </w:pPr>
            <w:r>
              <w:rPr>
                <w:sz w:val="18"/>
              </w:rPr>
              <w:t>Kamate na oročena sredstva i depozite po viđenju</w:t>
            </w:r>
          </w:p>
        </w:tc>
        <w:tc>
          <w:tcPr>
            <w:tcW w:w="700" w:type="dxa"/>
            <w:tcMar>
              <w:top w:w="0" w:type="dxa"/>
              <w:bottom w:w="0" w:type="dxa"/>
            </w:tcMar>
            <w:vAlign w:val="center"/>
          </w:tcPr>
          <w:p w:rsidR="007A6BC0" w:rsidRDefault="002E249B">
            <w:pPr>
              <w:keepNext/>
              <w:keepLines/>
              <w:spacing w:after="0" w:line="240" w:lineRule="auto"/>
            </w:pPr>
            <w:r>
              <w:rPr>
                <w:sz w:val="18"/>
              </w:rPr>
              <w:t>6413</w:t>
            </w:r>
          </w:p>
        </w:tc>
        <w:tc>
          <w:tcPr>
            <w:tcW w:w="1860" w:type="dxa"/>
            <w:tcMar>
              <w:top w:w="0" w:type="dxa"/>
              <w:bottom w:w="0" w:type="dxa"/>
            </w:tcMar>
            <w:vAlign w:val="center"/>
          </w:tcPr>
          <w:p w:rsidR="007A6BC0" w:rsidRDefault="002E249B">
            <w:pPr>
              <w:keepNext/>
              <w:keepLines/>
              <w:spacing w:after="0" w:line="240" w:lineRule="auto"/>
              <w:jc w:val="right"/>
            </w:pPr>
            <w:r>
              <w:rPr>
                <w:sz w:val="18"/>
              </w:rPr>
              <w:t>1.233,38</w:t>
            </w:r>
          </w:p>
        </w:tc>
        <w:tc>
          <w:tcPr>
            <w:tcW w:w="1860" w:type="dxa"/>
            <w:tcMar>
              <w:top w:w="0" w:type="dxa"/>
              <w:bottom w:w="0" w:type="dxa"/>
            </w:tcMar>
            <w:vAlign w:val="center"/>
          </w:tcPr>
          <w:p w:rsidR="007A6BC0" w:rsidRDefault="002E249B">
            <w:pPr>
              <w:keepNext/>
              <w:keepLines/>
              <w:spacing w:after="0" w:line="240" w:lineRule="auto"/>
              <w:jc w:val="right"/>
            </w:pPr>
            <w:r>
              <w:rPr>
                <w:sz w:val="18"/>
              </w:rPr>
              <w:t>2.024,27</w:t>
            </w:r>
          </w:p>
        </w:tc>
        <w:tc>
          <w:tcPr>
            <w:tcW w:w="700" w:type="dxa"/>
            <w:tcMar>
              <w:top w:w="0" w:type="dxa"/>
              <w:bottom w:w="0" w:type="dxa"/>
            </w:tcMar>
            <w:vAlign w:val="center"/>
          </w:tcPr>
          <w:p w:rsidR="007A6BC0" w:rsidRDefault="002E249B">
            <w:pPr>
              <w:keepNext/>
              <w:keepLines/>
              <w:spacing w:after="0" w:line="240" w:lineRule="auto"/>
              <w:jc w:val="right"/>
            </w:pPr>
            <w:r>
              <w:rPr>
                <w:sz w:val="18"/>
              </w:rPr>
              <w:t>164,1</w:t>
            </w:r>
          </w:p>
        </w:tc>
      </w:tr>
    </w:tbl>
    <w:p w:rsidR="007A6BC0" w:rsidRDefault="007A6BC0">
      <w:pPr>
        <w:spacing w:after="0"/>
      </w:pPr>
    </w:p>
    <w:p w:rsidR="007A6BC0" w:rsidRDefault="002E249B">
      <w:pPr>
        <w:spacing w:line="240" w:lineRule="auto"/>
        <w:jc w:val="both"/>
      </w:pPr>
      <w:r>
        <w:lastRenderedPageBreak/>
        <w:t>Naplaćen je veći iznos na ime kamata po žiro računima za 64,10% ili</w:t>
      </w:r>
      <w:r>
        <w:t xml:space="preserve"> za 790,89 eura  (Bolnica koristi odobreni Cash </w:t>
      </w:r>
      <w:proofErr w:type="spellStart"/>
      <w:r>
        <w:t>pool</w:t>
      </w:r>
      <w:proofErr w:type="spellEnd"/>
      <w:r>
        <w:t xml:space="preserve"> u manjem iznosu nego prethodne godine, te je prihod na ime kamata stoga veći).</w:t>
      </w:r>
    </w:p>
    <w:p w:rsidR="007A6BC0" w:rsidRDefault="007A6BC0"/>
    <w:p w:rsidR="007A6BC0" w:rsidRDefault="002E249B">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Ostvareno u </w:t>
            </w:r>
            <w:r>
              <w:rPr>
                <w:b/>
                <w:sz w:val="18"/>
              </w:rPr>
              <w:t>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6414</w:t>
            </w:r>
          </w:p>
        </w:tc>
        <w:tc>
          <w:tcPr>
            <w:tcW w:w="3180" w:type="dxa"/>
            <w:tcMar>
              <w:top w:w="0" w:type="dxa"/>
              <w:bottom w:w="0" w:type="dxa"/>
            </w:tcMar>
            <w:vAlign w:val="center"/>
          </w:tcPr>
          <w:p w:rsidR="007A6BC0" w:rsidRDefault="002E249B">
            <w:pPr>
              <w:keepNext/>
              <w:keepLines/>
              <w:spacing w:after="0" w:line="240" w:lineRule="auto"/>
            </w:pPr>
            <w:r>
              <w:rPr>
                <w:sz w:val="18"/>
              </w:rPr>
              <w:t>Prihodi od zateznih kamata</w:t>
            </w:r>
          </w:p>
        </w:tc>
        <w:tc>
          <w:tcPr>
            <w:tcW w:w="700" w:type="dxa"/>
            <w:tcMar>
              <w:top w:w="0" w:type="dxa"/>
              <w:bottom w:w="0" w:type="dxa"/>
            </w:tcMar>
            <w:vAlign w:val="center"/>
          </w:tcPr>
          <w:p w:rsidR="007A6BC0" w:rsidRDefault="002E249B">
            <w:pPr>
              <w:keepNext/>
              <w:keepLines/>
              <w:spacing w:after="0" w:line="240" w:lineRule="auto"/>
            </w:pPr>
            <w:r>
              <w:rPr>
                <w:sz w:val="18"/>
              </w:rPr>
              <w:t>6414</w:t>
            </w:r>
          </w:p>
        </w:tc>
        <w:tc>
          <w:tcPr>
            <w:tcW w:w="1860" w:type="dxa"/>
            <w:tcMar>
              <w:top w:w="0" w:type="dxa"/>
              <w:bottom w:w="0" w:type="dxa"/>
            </w:tcMar>
            <w:vAlign w:val="center"/>
          </w:tcPr>
          <w:p w:rsidR="007A6BC0" w:rsidRDefault="002E249B">
            <w:pPr>
              <w:keepNext/>
              <w:keepLines/>
              <w:spacing w:after="0" w:line="240" w:lineRule="auto"/>
              <w:jc w:val="right"/>
            </w:pPr>
            <w:r>
              <w:rPr>
                <w:sz w:val="18"/>
              </w:rPr>
              <w:t>153,58</w:t>
            </w:r>
          </w:p>
        </w:tc>
        <w:tc>
          <w:tcPr>
            <w:tcW w:w="1860" w:type="dxa"/>
            <w:tcMar>
              <w:top w:w="0" w:type="dxa"/>
              <w:bottom w:w="0" w:type="dxa"/>
            </w:tcMar>
            <w:vAlign w:val="center"/>
          </w:tcPr>
          <w:p w:rsidR="007A6BC0" w:rsidRDefault="002E249B">
            <w:pPr>
              <w:keepNext/>
              <w:keepLines/>
              <w:spacing w:after="0" w:line="240" w:lineRule="auto"/>
              <w:jc w:val="right"/>
            </w:pPr>
            <w:r>
              <w:rPr>
                <w:sz w:val="18"/>
              </w:rPr>
              <w:t>97,48</w:t>
            </w:r>
          </w:p>
        </w:tc>
        <w:tc>
          <w:tcPr>
            <w:tcW w:w="700" w:type="dxa"/>
            <w:tcMar>
              <w:top w:w="0" w:type="dxa"/>
              <w:bottom w:w="0" w:type="dxa"/>
            </w:tcMar>
            <w:vAlign w:val="center"/>
          </w:tcPr>
          <w:p w:rsidR="007A6BC0" w:rsidRDefault="002E249B">
            <w:pPr>
              <w:keepNext/>
              <w:keepLines/>
              <w:spacing w:after="0" w:line="240" w:lineRule="auto"/>
              <w:jc w:val="right"/>
            </w:pPr>
            <w:r>
              <w:rPr>
                <w:sz w:val="18"/>
              </w:rPr>
              <w:t>63,5</w:t>
            </w:r>
          </w:p>
        </w:tc>
      </w:tr>
    </w:tbl>
    <w:p w:rsidR="007A6BC0" w:rsidRDefault="007A6BC0">
      <w:pPr>
        <w:spacing w:after="0"/>
      </w:pPr>
    </w:p>
    <w:p w:rsidR="007A6BC0" w:rsidRDefault="002E249B">
      <w:pPr>
        <w:spacing w:line="240" w:lineRule="auto"/>
        <w:jc w:val="both"/>
      </w:pPr>
      <w:r>
        <w:t>Evidentirano manje naplaćenih prihoda na ime kamata po sudskim sporovima za 36,58% ili za 56,10 eura.</w:t>
      </w:r>
    </w:p>
    <w:p w:rsidR="007A6BC0" w:rsidRDefault="007A6BC0"/>
    <w:p w:rsidR="007A6BC0" w:rsidRDefault="002E249B">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6416</w:t>
            </w:r>
          </w:p>
        </w:tc>
        <w:tc>
          <w:tcPr>
            <w:tcW w:w="3180" w:type="dxa"/>
            <w:tcMar>
              <w:top w:w="0" w:type="dxa"/>
              <w:bottom w:w="0" w:type="dxa"/>
            </w:tcMar>
            <w:vAlign w:val="center"/>
          </w:tcPr>
          <w:p w:rsidR="007A6BC0" w:rsidRDefault="002E249B">
            <w:pPr>
              <w:keepNext/>
              <w:keepLines/>
              <w:spacing w:after="0" w:line="240" w:lineRule="auto"/>
            </w:pPr>
            <w:r>
              <w:rPr>
                <w:sz w:val="18"/>
              </w:rPr>
              <w:t>Prihodi od dividendi</w:t>
            </w:r>
          </w:p>
        </w:tc>
        <w:tc>
          <w:tcPr>
            <w:tcW w:w="700" w:type="dxa"/>
            <w:tcMar>
              <w:top w:w="0" w:type="dxa"/>
              <w:bottom w:w="0" w:type="dxa"/>
            </w:tcMar>
            <w:vAlign w:val="center"/>
          </w:tcPr>
          <w:p w:rsidR="007A6BC0" w:rsidRDefault="002E249B">
            <w:pPr>
              <w:keepNext/>
              <w:keepLines/>
              <w:spacing w:after="0" w:line="240" w:lineRule="auto"/>
            </w:pPr>
            <w:r>
              <w:rPr>
                <w:sz w:val="18"/>
              </w:rPr>
              <w:t>6416</w:t>
            </w:r>
          </w:p>
        </w:tc>
        <w:tc>
          <w:tcPr>
            <w:tcW w:w="1860" w:type="dxa"/>
            <w:tcMar>
              <w:top w:w="0" w:type="dxa"/>
              <w:bottom w:w="0" w:type="dxa"/>
            </w:tcMar>
            <w:vAlign w:val="center"/>
          </w:tcPr>
          <w:p w:rsidR="007A6BC0" w:rsidRDefault="002E249B">
            <w:pPr>
              <w:keepNext/>
              <w:keepLines/>
              <w:spacing w:after="0" w:line="240" w:lineRule="auto"/>
              <w:jc w:val="right"/>
            </w:pPr>
            <w:r>
              <w:rPr>
                <w:sz w:val="18"/>
              </w:rPr>
              <w:t>0,00</w:t>
            </w:r>
          </w:p>
        </w:tc>
        <w:tc>
          <w:tcPr>
            <w:tcW w:w="1860" w:type="dxa"/>
            <w:tcMar>
              <w:top w:w="0" w:type="dxa"/>
              <w:bottom w:w="0" w:type="dxa"/>
            </w:tcMar>
            <w:vAlign w:val="center"/>
          </w:tcPr>
          <w:p w:rsidR="007A6BC0" w:rsidRDefault="002E249B">
            <w:pPr>
              <w:keepNext/>
              <w:keepLines/>
              <w:spacing w:after="0" w:line="240" w:lineRule="auto"/>
              <w:jc w:val="right"/>
            </w:pPr>
            <w:r>
              <w:rPr>
                <w:sz w:val="18"/>
              </w:rPr>
              <w:t>583,22</w:t>
            </w:r>
          </w:p>
        </w:tc>
        <w:tc>
          <w:tcPr>
            <w:tcW w:w="700" w:type="dxa"/>
            <w:tcMar>
              <w:top w:w="0" w:type="dxa"/>
              <w:bottom w:w="0" w:type="dxa"/>
            </w:tcMar>
            <w:vAlign w:val="center"/>
          </w:tcPr>
          <w:p w:rsidR="007A6BC0" w:rsidRDefault="002E249B">
            <w:pPr>
              <w:keepNext/>
              <w:keepLines/>
              <w:spacing w:after="0" w:line="240" w:lineRule="auto"/>
              <w:jc w:val="right"/>
            </w:pPr>
            <w:r>
              <w:rPr>
                <w:sz w:val="18"/>
              </w:rPr>
              <w:t>-</w:t>
            </w:r>
          </w:p>
        </w:tc>
      </w:tr>
    </w:tbl>
    <w:p w:rsidR="007A6BC0" w:rsidRDefault="007A6BC0">
      <w:pPr>
        <w:spacing w:after="0"/>
      </w:pPr>
    </w:p>
    <w:p w:rsidR="007A6BC0" w:rsidRDefault="002E249B">
      <w:pPr>
        <w:spacing w:line="240" w:lineRule="auto"/>
        <w:jc w:val="both"/>
      </w:pPr>
      <w:r>
        <w:t>Evidentiran iznos od 583,22 eura, prethodne godine nismo imali prihoda od dividendi.</w:t>
      </w:r>
    </w:p>
    <w:p w:rsidR="007A6BC0" w:rsidRDefault="007A6BC0"/>
    <w:p w:rsidR="007A6BC0" w:rsidRDefault="002E249B">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65</w:t>
            </w:r>
          </w:p>
        </w:tc>
        <w:tc>
          <w:tcPr>
            <w:tcW w:w="3180" w:type="dxa"/>
            <w:tcMar>
              <w:top w:w="0" w:type="dxa"/>
              <w:bottom w:w="0" w:type="dxa"/>
            </w:tcMar>
            <w:vAlign w:val="center"/>
          </w:tcPr>
          <w:p w:rsidR="007A6BC0" w:rsidRDefault="002E249B">
            <w:pPr>
              <w:keepNext/>
              <w:keepLines/>
              <w:spacing w:after="0" w:line="240" w:lineRule="auto"/>
            </w:pPr>
            <w:r>
              <w:rPr>
                <w:sz w:val="18"/>
              </w:rPr>
              <w:t xml:space="preserve">Prihodi od upravnih i administrativnih pristojbi, pristojbi po posebnim propisima i </w:t>
            </w:r>
            <w:r>
              <w:rPr>
                <w:sz w:val="18"/>
              </w:rPr>
              <w:t>naknada (šifre 651+652+653+654)</w:t>
            </w:r>
          </w:p>
        </w:tc>
        <w:tc>
          <w:tcPr>
            <w:tcW w:w="700" w:type="dxa"/>
            <w:tcMar>
              <w:top w:w="0" w:type="dxa"/>
              <w:bottom w:w="0" w:type="dxa"/>
            </w:tcMar>
            <w:vAlign w:val="center"/>
          </w:tcPr>
          <w:p w:rsidR="007A6BC0" w:rsidRDefault="002E249B">
            <w:pPr>
              <w:keepNext/>
              <w:keepLines/>
              <w:spacing w:after="0" w:line="240" w:lineRule="auto"/>
            </w:pPr>
            <w:r>
              <w:rPr>
                <w:sz w:val="18"/>
              </w:rPr>
              <w:t>65</w:t>
            </w:r>
          </w:p>
        </w:tc>
        <w:tc>
          <w:tcPr>
            <w:tcW w:w="1860" w:type="dxa"/>
            <w:tcMar>
              <w:top w:w="0" w:type="dxa"/>
              <w:bottom w:w="0" w:type="dxa"/>
            </w:tcMar>
            <w:vAlign w:val="center"/>
          </w:tcPr>
          <w:p w:rsidR="007A6BC0" w:rsidRDefault="002E249B">
            <w:pPr>
              <w:keepNext/>
              <w:keepLines/>
              <w:spacing w:after="0" w:line="240" w:lineRule="auto"/>
              <w:jc w:val="right"/>
            </w:pPr>
            <w:r>
              <w:rPr>
                <w:sz w:val="18"/>
              </w:rPr>
              <w:t>1.414.233,02</w:t>
            </w:r>
          </w:p>
        </w:tc>
        <w:tc>
          <w:tcPr>
            <w:tcW w:w="1860" w:type="dxa"/>
            <w:tcMar>
              <w:top w:w="0" w:type="dxa"/>
              <w:bottom w:w="0" w:type="dxa"/>
            </w:tcMar>
            <w:vAlign w:val="center"/>
          </w:tcPr>
          <w:p w:rsidR="007A6BC0" w:rsidRDefault="002E249B">
            <w:pPr>
              <w:keepNext/>
              <w:keepLines/>
              <w:spacing w:after="0" w:line="240" w:lineRule="auto"/>
              <w:jc w:val="right"/>
            </w:pPr>
            <w:r>
              <w:rPr>
                <w:sz w:val="18"/>
              </w:rPr>
              <w:t>1.456.529,46</w:t>
            </w:r>
          </w:p>
        </w:tc>
        <w:tc>
          <w:tcPr>
            <w:tcW w:w="700" w:type="dxa"/>
            <w:tcMar>
              <w:top w:w="0" w:type="dxa"/>
              <w:bottom w:w="0" w:type="dxa"/>
            </w:tcMar>
            <w:vAlign w:val="center"/>
          </w:tcPr>
          <w:p w:rsidR="007A6BC0" w:rsidRDefault="002E249B">
            <w:pPr>
              <w:keepNext/>
              <w:keepLines/>
              <w:spacing w:after="0" w:line="240" w:lineRule="auto"/>
              <w:jc w:val="right"/>
            </w:pPr>
            <w:r>
              <w:rPr>
                <w:sz w:val="18"/>
              </w:rPr>
              <w:t>103,0</w:t>
            </w:r>
          </w:p>
        </w:tc>
      </w:tr>
    </w:tbl>
    <w:p w:rsidR="007A6BC0" w:rsidRDefault="007A6BC0">
      <w:pPr>
        <w:spacing w:after="0"/>
      </w:pPr>
    </w:p>
    <w:p w:rsidR="007A6BC0" w:rsidRDefault="002E249B">
      <w:pPr>
        <w:spacing w:line="240" w:lineRule="auto"/>
        <w:jc w:val="both"/>
      </w:pPr>
      <w:r>
        <w:t xml:space="preserve">Ostvareni su u iznosu 1.456.529,46 eura, veći su u odnosu na isto razdoblje prethodne 2024. godine za 3,00% ili za 42.296,44 eura. Rezultat povećanja je bolje punjenje bolničkih </w:t>
      </w:r>
      <w:r>
        <w:t>kapaciteta što utječe i na ostvarenje boljih prihoda od dopunskog osiguranja, participacija, refundacija šteta te ostalih prihoda za posebne namjene (stambena pričuva).</w:t>
      </w:r>
    </w:p>
    <w:p w:rsidR="007A6BC0" w:rsidRDefault="007A6BC0"/>
    <w:p w:rsidR="007A6BC0" w:rsidRDefault="002E249B">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Ostvareno u izvještajnom razdoblju </w:t>
            </w:r>
            <w:r>
              <w:rPr>
                <w:b/>
                <w:sz w:val="18"/>
              </w:rPr>
              <w:t>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66</w:t>
            </w:r>
          </w:p>
        </w:tc>
        <w:tc>
          <w:tcPr>
            <w:tcW w:w="3180" w:type="dxa"/>
            <w:tcMar>
              <w:top w:w="0" w:type="dxa"/>
              <w:bottom w:w="0" w:type="dxa"/>
            </w:tcMar>
            <w:vAlign w:val="center"/>
          </w:tcPr>
          <w:p w:rsidR="007A6BC0" w:rsidRDefault="002E249B">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rsidR="007A6BC0" w:rsidRDefault="002E249B">
            <w:pPr>
              <w:keepNext/>
              <w:keepLines/>
              <w:spacing w:after="0" w:line="240" w:lineRule="auto"/>
            </w:pPr>
            <w:r>
              <w:rPr>
                <w:sz w:val="18"/>
              </w:rPr>
              <w:t>66</w:t>
            </w:r>
          </w:p>
        </w:tc>
        <w:tc>
          <w:tcPr>
            <w:tcW w:w="1860" w:type="dxa"/>
            <w:tcMar>
              <w:top w:w="0" w:type="dxa"/>
              <w:bottom w:w="0" w:type="dxa"/>
            </w:tcMar>
            <w:vAlign w:val="center"/>
          </w:tcPr>
          <w:p w:rsidR="007A6BC0" w:rsidRDefault="002E249B">
            <w:pPr>
              <w:keepNext/>
              <w:keepLines/>
              <w:spacing w:after="0" w:line="240" w:lineRule="auto"/>
              <w:jc w:val="right"/>
            </w:pPr>
            <w:r>
              <w:rPr>
                <w:sz w:val="18"/>
              </w:rPr>
              <w:t>2.722.785,62</w:t>
            </w:r>
          </w:p>
        </w:tc>
        <w:tc>
          <w:tcPr>
            <w:tcW w:w="1860" w:type="dxa"/>
            <w:tcMar>
              <w:top w:w="0" w:type="dxa"/>
              <w:bottom w:w="0" w:type="dxa"/>
            </w:tcMar>
            <w:vAlign w:val="center"/>
          </w:tcPr>
          <w:p w:rsidR="007A6BC0" w:rsidRDefault="002E249B">
            <w:pPr>
              <w:keepNext/>
              <w:keepLines/>
              <w:spacing w:after="0" w:line="240" w:lineRule="auto"/>
              <w:jc w:val="right"/>
            </w:pPr>
            <w:r>
              <w:rPr>
                <w:sz w:val="18"/>
              </w:rPr>
              <w:t>1.747.669,53</w:t>
            </w:r>
          </w:p>
        </w:tc>
        <w:tc>
          <w:tcPr>
            <w:tcW w:w="700" w:type="dxa"/>
            <w:tcMar>
              <w:top w:w="0" w:type="dxa"/>
              <w:bottom w:w="0" w:type="dxa"/>
            </w:tcMar>
            <w:vAlign w:val="center"/>
          </w:tcPr>
          <w:p w:rsidR="007A6BC0" w:rsidRDefault="002E249B">
            <w:pPr>
              <w:keepNext/>
              <w:keepLines/>
              <w:spacing w:after="0" w:line="240" w:lineRule="auto"/>
              <w:jc w:val="right"/>
            </w:pPr>
            <w:r>
              <w:rPr>
                <w:sz w:val="18"/>
              </w:rPr>
              <w:t>64,2</w:t>
            </w:r>
          </w:p>
        </w:tc>
      </w:tr>
    </w:tbl>
    <w:p w:rsidR="007A6BC0" w:rsidRDefault="007A6BC0">
      <w:pPr>
        <w:spacing w:after="0"/>
      </w:pPr>
    </w:p>
    <w:p w:rsidR="007A6BC0" w:rsidRDefault="002E249B">
      <w:pPr>
        <w:spacing w:line="240" w:lineRule="auto"/>
        <w:jc w:val="both"/>
      </w:pPr>
      <w:r>
        <w:lastRenderedPageBreak/>
        <w:t>Ostvareni</w:t>
      </w:r>
      <w:r>
        <w:t xml:space="preserve"> su u iznosu 1.747.669,53 eura i manji su za 35,80% ili za 975.116,09  eura u odnosu na isto razdoblje prethodne godine.</w:t>
      </w:r>
    </w:p>
    <w:p w:rsidR="007A6BC0" w:rsidRDefault="007A6BC0"/>
    <w:p w:rsidR="007A6BC0" w:rsidRDefault="002E249B">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w:t>
            </w:r>
            <w:r>
              <w:rPr>
                <w:b/>
                <w:sz w:val="18"/>
              </w:rPr>
              <w:t>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661</w:t>
            </w:r>
          </w:p>
        </w:tc>
        <w:tc>
          <w:tcPr>
            <w:tcW w:w="3180" w:type="dxa"/>
            <w:tcMar>
              <w:top w:w="0" w:type="dxa"/>
              <w:bottom w:w="0" w:type="dxa"/>
            </w:tcMar>
            <w:vAlign w:val="center"/>
          </w:tcPr>
          <w:p w:rsidR="007A6BC0" w:rsidRDefault="002E249B">
            <w:pPr>
              <w:keepNext/>
              <w:keepLines/>
              <w:spacing w:after="0" w:line="240" w:lineRule="auto"/>
            </w:pPr>
            <w:r>
              <w:rPr>
                <w:sz w:val="18"/>
              </w:rPr>
              <w:t>Prihodi od prodaje proizvoda i robe te pruženih usluga (šifre 6614+6615)</w:t>
            </w:r>
          </w:p>
        </w:tc>
        <w:tc>
          <w:tcPr>
            <w:tcW w:w="700" w:type="dxa"/>
            <w:tcMar>
              <w:top w:w="0" w:type="dxa"/>
              <w:bottom w:w="0" w:type="dxa"/>
            </w:tcMar>
            <w:vAlign w:val="center"/>
          </w:tcPr>
          <w:p w:rsidR="007A6BC0" w:rsidRDefault="002E249B">
            <w:pPr>
              <w:keepNext/>
              <w:keepLines/>
              <w:spacing w:after="0" w:line="240" w:lineRule="auto"/>
            </w:pPr>
            <w:r>
              <w:rPr>
                <w:sz w:val="18"/>
              </w:rPr>
              <w:t>661</w:t>
            </w:r>
          </w:p>
        </w:tc>
        <w:tc>
          <w:tcPr>
            <w:tcW w:w="1860" w:type="dxa"/>
            <w:tcMar>
              <w:top w:w="0" w:type="dxa"/>
              <w:bottom w:w="0" w:type="dxa"/>
            </w:tcMar>
            <w:vAlign w:val="center"/>
          </w:tcPr>
          <w:p w:rsidR="007A6BC0" w:rsidRDefault="002E249B">
            <w:pPr>
              <w:keepNext/>
              <w:keepLines/>
              <w:spacing w:after="0" w:line="240" w:lineRule="auto"/>
              <w:jc w:val="right"/>
            </w:pPr>
            <w:r>
              <w:rPr>
                <w:sz w:val="18"/>
              </w:rPr>
              <w:t>2.695.532,39</w:t>
            </w:r>
          </w:p>
        </w:tc>
        <w:tc>
          <w:tcPr>
            <w:tcW w:w="1860" w:type="dxa"/>
            <w:tcMar>
              <w:top w:w="0" w:type="dxa"/>
              <w:bottom w:w="0" w:type="dxa"/>
            </w:tcMar>
            <w:vAlign w:val="center"/>
          </w:tcPr>
          <w:p w:rsidR="007A6BC0" w:rsidRDefault="002E249B">
            <w:pPr>
              <w:keepNext/>
              <w:keepLines/>
              <w:spacing w:after="0" w:line="240" w:lineRule="auto"/>
              <w:jc w:val="right"/>
            </w:pPr>
            <w:r>
              <w:rPr>
                <w:sz w:val="18"/>
              </w:rPr>
              <w:t>1.736.299,44</w:t>
            </w:r>
          </w:p>
        </w:tc>
        <w:tc>
          <w:tcPr>
            <w:tcW w:w="700" w:type="dxa"/>
            <w:tcMar>
              <w:top w:w="0" w:type="dxa"/>
              <w:bottom w:w="0" w:type="dxa"/>
            </w:tcMar>
            <w:vAlign w:val="center"/>
          </w:tcPr>
          <w:p w:rsidR="007A6BC0" w:rsidRDefault="002E249B">
            <w:pPr>
              <w:keepNext/>
              <w:keepLines/>
              <w:spacing w:after="0" w:line="240" w:lineRule="auto"/>
              <w:jc w:val="right"/>
            </w:pPr>
            <w:r>
              <w:rPr>
                <w:sz w:val="18"/>
              </w:rPr>
              <w:t>64,4</w:t>
            </w:r>
          </w:p>
        </w:tc>
      </w:tr>
    </w:tbl>
    <w:p w:rsidR="007A6BC0" w:rsidRDefault="007A6BC0">
      <w:pPr>
        <w:spacing w:after="0"/>
      </w:pPr>
    </w:p>
    <w:p w:rsidR="007A6BC0" w:rsidRDefault="002E249B">
      <w:pPr>
        <w:spacing w:line="240" w:lineRule="auto"/>
        <w:jc w:val="both"/>
      </w:pPr>
      <w:r>
        <w:t xml:space="preserve">evidentirano je smanjenje za 35,60% ili za 959.232,95 eura. Glavni razlog smanjenja jest činjenica da je objekt </w:t>
      </w:r>
      <w:r>
        <w:t>Minerva zatvoren s danom 28. veljače poslovne godine zbog izvođenja radova na projektu „Unapređenje kvalitete smještaja i sadržaja hotela Minerva“, što je izravno utjecalo na smanjenje prihoda u promatranom razdoblju. Važno je napomenuti da je u usporedivo</w:t>
      </w:r>
      <w:r>
        <w:t>m razdoblju prethodne poslovne godine objekt Minerva bio u punoj funkciji te je poslovna aktivnost odvijana kontinuirano tijekom cijele godine, što dodatno objašnjava značajnu razliku u ostvarenim prihodima.</w:t>
      </w:r>
    </w:p>
    <w:p w:rsidR="007A6BC0" w:rsidRDefault="007A6BC0"/>
    <w:p w:rsidR="007A6BC0" w:rsidRDefault="002E249B">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w:t>
            </w:r>
            <w:r>
              <w:rPr>
                <w:b/>
                <w:sz w:val="18"/>
              </w:rPr>
              <w:t>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663</w:t>
            </w:r>
          </w:p>
        </w:tc>
        <w:tc>
          <w:tcPr>
            <w:tcW w:w="3180" w:type="dxa"/>
            <w:tcMar>
              <w:top w:w="0" w:type="dxa"/>
              <w:bottom w:w="0" w:type="dxa"/>
            </w:tcMar>
            <w:vAlign w:val="center"/>
          </w:tcPr>
          <w:p w:rsidR="007A6BC0" w:rsidRDefault="002E249B">
            <w:pPr>
              <w:keepNext/>
              <w:keepLines/>
              <w:spacing w:after="0" w:line="240" w:lineRule="auto"/>
            </w:pPr>
            <w:r>
              <w:rPr>
                <w:sz w:val="18"/>
              </w:rPr>
              <w:t xml:space="preserve">Donacije od pravnih i fizičkih osoba izvan općeg proračuna te povrat donacija i kapitalnih pomoći po protestiranim jamstvima (šifre </w:t>
            </w:r>
            <w:r>
              <w:rPr>
                <w:sz w:val="18"/>
              </w:rPr>
              <w:t>6631 do 6634)</w:t>
            </w:r>
          </w:p>
        </w:tc>
        <w:tc>
          <w:tcPr>
            <w:tcW w:w="700" w:type="dxa"/>
            <w:tcMar>
              <w:top w:w="0" w:type="dxa"/>
              <w:bottom w:w="0" w:type="dxa"/>
            </w:tcMar>
            <w:vAlign w:val="center"/>
          </w:tcPr>
          <w:p w:rsidR="007A6BC0" w:rsidRDefault="002E249B">
            <w:pPr>
              <w:keepNext/>
              <w:keepLines/>
              <w:spacing w:after="0" w:line="240" w:lineRule="auto"/>
            </w:pPr>
            <w:r>
              <w:rPr>
                <w:sz w:val="18"/>
              </w:rPr>
              <w:t>663</w:t>
            </w:r>
          </w:p>
        </w:tc>
        <w:tc>
          <w:tcPr>
            <w:tcW w:w="1860" w:type="dxa"/>
            <w:tcMar>
              <w:top w:w="0" w:type="dxa"/>
              <w:bottom w:w="0" w:type="dxa"/>
            </w:tcMar>
            <w:vAlign w:val="center"/>
          </w:tcPr>
          <w:p w:rsidR="007A6BC0" w:rsidRDefault="002E249B">
            <w:pPr>
              <w:keepNext/>
              <w:keepLines/>
              <w:spacing w:after="0" w:line="240" w:lineRule="auto"/>
              <w:jc w:val="right"/>
            </w:pPr>
            <w:r>
              <w:rPr>
                <w:sz w:val="18"/>
              </w:rPr>
              <w:t>27.253,23</w:t>
            </w:r>
          </w:p>
        </w:tc>
        <w:tc>
          <w:tcPr>
            <w:tcW w:w="1860" w:type="dxa"/>
            <w:tcMar>
              <w:top w:w="0" w:type="dxa"/>
              <w:bottom w:w="0" w:type="dxa"/>
            </w:tcMar>
            <w:vAlign w:val="center"/>
          </w:tcPr>
          <w:p w:rsidR="007A6BC0" w:rsidRDefault="002E249B">
            <w:pPr>
              <w:keepNext/>
              <w:keepLines/>
              <w:spacing w:after="0" w:line="240" w:lineRule="auto"/>
              <w:jc w:val="right"/>
            </w:pPr>
            <w:r>
              <w:rPr>
                <w:sz w:val="18"/>
              </w:rPr>
              <w:t>11.370,09</w:t>
            </w:r>
          </w:p>
        </w:tc>
        <w:tc>
          <w:tcPr>
            <w:tcW w:w="700" w:type="dxa"/>
            <w:tcMar>
              <w:top w:w="0" w:type="dxa"/>
              <w:bottom w:w="0" w:type="dxa"/>
            </w:tcMar>
            <w:vAlign w:val="center"/>
          </w:tcPr>
          <w:p w:rsidR="007A6BC0" w:rsidRDefault="002E249B">
            <w:pPr>
              <w:keepNext/>
              <w:keepLines/>
              <w:spacing w:after="0" w:line="240" w:lineRule="auto"/>
              <w:jc w:val="right"/>
            </w:pPr>
            <w:r>
              <w:rPr>
                <w:sz w:val="18"/>
              </w:rPr>
              <w:t>41,7</w:t>
            </w:r>
          </w:p>
        </w:tc>
      </w:tr>
    </w:tbl>
    <w:p w:rsidR="007A6BC0" w:rsidRDefault="007A6BC0">
      <w:pPr>
        <w:spacing w:after="0"/>
      </w:pPr>
    </w:p>
    <w:p w:rsidR="007A6BC0" w:rsidRDefault="002E249B">
      <w:pPr>
        <w:spacing w:line="240" w:lineRule="auto"/>
        <w:jc w:val="both"/>
      </w:pPr>
      <w:r>
        <w:t xml:space="preserve">Evidentiran iznos od 11.370,09 eura što je za 58,30% ili za 15.883,14 eura manje u odnosu na isto razdoblje prethodne godine, a odnosi se na primljene donacije trgovačkih društava za pokriće troškova stručnih </w:t>
      </w:r>
      <w:r>
        <w:t>edukacija radnika bolnice (sudjelovanja na kongresima, seminarima i tečajevima) u iznosu 4.200,00 eura te na primljene donacije za potrošni medicinski materijal u iznosu 7.170,09 eura. U istom razdoblju prethodne godine evidentirana je donacija analizatora</w:t>
      </w:r>
      <w:r>
        <w:t xml:space="preserve"> vrijednosti 18.750,00 eura, donacija bicikla u iznosu 998,75 eura, potrošnog materijala u iznosu 2.904,48 eura te donacije trgovačkih društava za pokriće troškova stručnih edukacija radnika bolnice u iznosu 4.600,00 eura.</w:t>
      </w:r>
    </w:p>
    <w:p w:rsidR="007A6BC0" w:rsidRDefault="007A6BC0"/>
    <w:p w:rsidR="007A6BC0" w:rsidRDefault="002E249B">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67</w:t>
            </w:r>
          </w:p>
        </w:tc>
        <w:tc>
          <w:tcPr>
            <w:tcW w:w="3180" w:type="dxa"/>
            <w:tcMar>
              <w:top w:w="0" w:type="dxa"/>
              <w:bottom w:w="0" w:type="dxa"/>
            </w:tcMar>
            <w:vAlign w:val="center"/>
          </w:tcPr>
          <w:p w:rsidR="007A6BC0" w:rsidRDefault="002E249B">
            <w:pPr>
              <w:keepNext/>
              <w:keepLines/>
              <w:spacing w:after="0" w:line="240" w:lineRule="auto"/>
            </w:pPr>
            <w:r>
              <w:rPr>
                <w:sz w:val="18"/>
              </w:rPr>
              <w:t>Prihodi iz nadležnog proračuna i od HZZO-a na temelju ugovornih obveza (šifre 671+673)</w:t>
            </w:r>
          </w:p>
        </w:tc>
        <w:tc>
          <w:tcPr>
            <w:tcW w:w="700" w:type="dxa"/>
            <w:tcMar>
              <w:top w:w="0" w:type="dxa"/>
              <w:bottom w:w="0" w:type="dxa"/>
            </w:tcMar>
            <w:vAlign w:val="center"/>
          </w:tcPr>
          <w:p w:rsidR="007A6BC0" w:rsidRDefault="002E249B">
            <w:pPr>
              <w:keepNext/>
              <w:keepLines/>
              <w:spacing w:after="0" w:line="240" w:lineRule="auto"/>
            </w:pPr>
            <w:r>
              <w:rPr>
                <w:sz w:val="18"/>
              </w:rPr>
              <w:t>67</w:t>
            </w:r>
          </w:p>
        </w:tc>
        <w:tc>
          <w:tcPr>
            <w:tcW w:w="1860" w:type="dxa"/>
            <w:tcMar>
              <w:top w:w="0" w:type="dxa"/>
              <w:bottom w:w="0" w:type="dxa"/>
            </w:tcMar>
            <w:vAlign w:val="center"/>
          </w:tcPr>
          <w:p w:rsidR="007A6BC0" w:rsidRDefault="002E249B">
            <w:pPr>
              <w:keepNext/>
              <w:keepLines/>
              <w:spacing w:after="0" w:line="240" w:lineRule="auto"/>
              <w:jc w:val="right"/>
            </w:pPr>
            <w:r>
              <w:rPr>
                <w:sz w:val="18"/>
              </w:rPr>
              <w:t>7.858.280,88</w:t>
            </w:r>
          </w:p>
        </w:tc>
        <w:tc>
          <w:tcPr>
            <w:tcW w:w="1860" w:type="dxa"/>
            <w:tcMar>
              <w:top w:w="0" w:type="dxa"/>
              <w:bottom w:w="0" w:type="dxa"/>
            </w:tcMar>
            <w:vAlign w:val="center"/>
          </w:tcPr>
          <w:p w:rsidR="007A6BC0" w:rsidRDefault="002E249B">
            <w:pPr>
              <w:keepNext/>
              <w:keepLines/>
              <w:spacing w:after="0" w:line="240" w:lineRule="auto"/>
              <w:jc w:val="right"/>
            </w:pPr>
            <w:r>
              <w:rPr>
                <w:sz w:val="18"/>
              </w:rPr>
              <w:t>7.927.919,42</w:t>
            </w:r>
          </w:p>
        </w:tc>
        <w:tc>
          <w:tcPr>
            <w:tcW w:w="700" w:type="dxa"/>
            <w:tcMar>
              <w:top w:w="0" w:type="dxa"/>
              <w:bottom w:w="0" w:type="dxa"/>
            </w:tcMar>
            <w:vAlign w:val="center"/>
          </w:tcPr>
          <w:p w:rsidR="007A6BC0" w:rsidRDefault="002E249B">
            <w:pPr>
              <w:keepNext/>
              <w:keepLines/>
              <w:spacing w:after="0" w:line="240" w:lineRule="auto"/>
              <w:jc w:val="right"/>
            </w:pPr>
            <w:r>
              <w:rPr>
                <w:sz w:val="18"/>
              </w:rPr>
              <w:t>100,9</w:t>
            </w:r>
          </w:p>
        </w:tc>
      </w:tr>
    </w:tbl>
    <w:p w:rsidR="007A6BC0" w:rsidRDefault="007A6BC0">
      <w:pPr>
        <w:spacing w:after="0"/>
      </w:pPr>
    </w:p>
    <w:p w:rsidR="007A6BC0" w:rsidRDefault="002E249B">
      <w:pPr>
        <w:spacing w:line="240" w:lineRule="auto"/>
        <w:jc w:val="both"/>
      </w:pPr>
      <w:r>
        <w:t>Ostvareni su u ukupnom iznosu od 7.927.919,42 eura, veći su u odnosu na isto razdoblje prethodne 2024. godine za 0,90% ili za 69.638,54 eura, veće izvršenje odnosi se na decentralizirana sredstva.</w:t>
      </w:r>
    </w:p>
    <w:p w:rsidR="007A6BC0" w:rsidRDefault="007A6BC0"/>
    <w:p w:rsidR="007A6BC0" w:rsidRDefault="002E249B">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671</w:t>
            </w:r>
          </w:p>
        </w:tc>
        <w:tc>
          <w:tcPr>
            <w:tcW w:w="3180" w:type="dxa"/>
            <w:tcMar>
              <w:top w:w="0" w:type="dxa"/>
              <w:bottom w:w="0" w:type="dxa"/>
            </w:tcMar>
            <w:vAlign w:val="center"/>
          </w:tcPr>
          <w:p w:rsidR="007A6BC0" w:rsidRDefault="002E249B">
            <w:pPr>
              <w:keepNext/>
              <w:keepLines/>
              <w:spacing w:after="0" w:line="240" w:lineRule="auto"/>
            </w:pPr>
            <w:r>
              <w:rPr>
                <w:sz w:val="18"/>
              </w:rPr>
              <w:t>Prihodi iz nadležnog proračuna za financiranje redovne djelatnosti proračunskih korisnika (šifre 6711 do 6714)</w:t>
            </w:r>
          </w:p>
        </w:tc>
        <w:tc>
          <w:tcPr>
            <w:tcW w:w="700" w:type="dxa"/>
            <w:tcMar>
              <w:top w:w="0" w:type="dxa"/>
              <w:bottom w:w="0" w:type="dxa"/>
            </w:tcMar>
            <w:vAlign w:val="center"/>
          </w:tcPr>
          <w:p w:rsidR="007A6BC0" w:rsidRDefault="002E249B">
            <w:pPr>
              <w:keepNext/>
              <w:keepLines/>
              <w:spacing w:after="0" w:line="240" w:lineRule="auto"/>
            </w:pPr>
            <w:r>
              <w:rPr>
                <w:sz w:val="18"/>
              </w:rPr>
              <w:t>671</w:t>
            </w:r>
          </w:p>
        </w:tc>
        <w:tc>
          <w:tcPr>
            <w:tcW w:w="1860" w:type="dxa"/>
            <w:tcMar>
              <w:top w:w="0" w:type="dxa"/>
              <w:bottom w:w="0" w:type="dxa"/>
            </w:tcMar>
            <w:vAlign w:val="center"/>
          </w:tcPr>
          <w:p w:rsidR="007A6BC0" w:rsidRDefault="002E249B">
            <w:pPr>
              <w:keepNext/>
              <w:keepLines/>
              <w:spacing w:after="0" w:line="240" w:lineRule="auto"/>
              <w:jc w:val="right"/>
            </w:pPr>
            <w:r>
              <w:rPr>
                <w:sz w:val="18"/>
              </w:rPr>
              <w:t>344.560,24</w:t>
            </w:r>
          </w:p>
        </w:tc>
        <w:tc>
          <w:tcPr>
            <w:tcW w:w="1860" w:type="dxa"/>
            <w:tcMar>
              <w:top w:w="0" w:type="dxa"/>
              <w:bottom w:w="0" w:type="dxa"/>
            </w:tcMar>
            <w:vAlign w:val="center"/>
          </w:tcPr>
          <w:p w:rsidR="007A6BC0" w:rsidRDefault="002E249B">
            <w:pPr>
              <w:keepNext/>
              <w:keepLines/>
              <w:spacing w:after="0" w:line="240" w:lineRule="auto"/>
              <w:jc w:val="right"/>
            </w:pPr>
            <w:r>
              <w:rPr>
                <w:sz w:val="18"/>
              </w:rPr>
              <w:t>541.360,32</w:t>
            </w:r>
          </w:p>
        </w:tc>
        <w:tc>
          <w:tcPr>
            <w:tcW w:w="700" w:type="dxa"/>
            <w:tcMar>
              <w:top w:w="0" w:type="dxa"/>
              <w:bottom w:w="0" w:type="dxa"/>
            </w:tcMar>
            <w:vAlign w:val="center"/>
          </w:tcPr>
          <w:p w:rsidR="007A6BC0" w:rsidRDefault="002E249B">
            <w:pPr>
              <w:keepNext/>
              <w:keepLines/>
              <w:spacing w:after="0" w:line="240" w:lineRule="auto"/>
              <w:jc w:val="right"/>
            </w:pPr>
            <w:r>
              <w:rPr>
                <w:sz w:val="18"/>
              </w:rPr>
              <w:t>157,1</w:t>
            </w:r>
          </w:p>
        </w:tc>
      </w:tr>
    </w:tbl>
    <w:p w:rsidR="007A6BC0" w:rsidRDefault="007A6BC0">
      <w:pPr>
        <w:spacing w:after="0"/>
      </w:pPr>
    </w:p>
    <w:p w:rsidR="007A6BC0" w:rsidRDefault="002E249B">
      <w:pPr>
        <w:spacing w:line="240" w:lineRule="auto"/>
        <w:jc w:val="both"/>
      </w:pPr>
      <w:proofErr w:type="spellStart"/>
      <w:r>
        <w:t>Oprihodovana</w:t>
      </w:r>
      <w:proofErr w:type="spellEnd"/>
      <w:r>
        <w:t xml:space="preserve"> su u ukupnom iznosu od 541.360,32 eura i to: za financiranje otplate kamata i glavnice po dugoročnim kreditima za energetsku obnovu objekata bolnice u iznosu 408.279,32 eura, za nabavu medicinske opreme u iznosu 120.640,00 eura te za </w:t>
      </w:r>
      <w:r>
        <w:t xml:space="preserve">usluge tekućeg i investicijskog održavanja iznos od 12.441,00 eura. U tekućoj godini izvršenje je veće za 57,10% iz razloga što su za nabavu medicinske opreme početkom godine pokrenuti postupci nabave, dok su prethodne godine postupci nabave započeli puno </w:t>
      </w:r>
      <w:r>
        <w:t>kasnije pa se izvršenje za nabavu opreme evidentira tek u mjesecu srpnju.</w:t>
      </w:r>
    </w:p>
    <w:p w:rsidR="007A6BC0" w:rsidRDefault="007A6BC0"/>
    <w:p w:rsidR="007A6BC0" w:rsidRDefault="002E249B">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673</w:t>
            </w:r>
          </w:p>
        </w:tc>
        <w:tc>
          <w:tcPr>
            <w:tcW w:w="3180" w:type="dxa"/>
            <w:tcMar>
              <w:top w:w="0" w:type="dxa"/>
              <w:bottom w:w="0" w:type="dxa"/>
            </w:tcMar>
            <w:vAlign w:val="center"/>
          </w:tcPr>
          <w:p w:rsidR="007A6BC0" w:rsidRDefault="002E249B">
            <w:pPr>
              <w:keepNext/>
              <w:keepLines/>
              <w:spacing w:after="0" w:line="240" w:lineRule="auto"/>
            </w:pPr>
            <w:r>
              <w:rPr>
                <w:sz w:val="18"/>
              </w:rPr>
              <w:t xml:space="preserve">Prihodi od </w:t>
            </w:r>
            <w:r>
              <w:rPr>
                <w:sz w:val="18"/>
              </w:rPr>
              <w:t>HZZO-a na temelju ugovornih obveza</w:t>
            </w:r>
          </w:p>
        </w:tc>
        <w:tc>
          <w:tcPr>
            <w:tcW w:w="700" w:type="dxa"/>
            <w:tcMar>
              <w:top w:w="0" w:type="dxa"/>
              <w:bottom w:w="0" w:type="dxa"/>
            </w:tcMar>
            <w:vAlign w:val="center"/>
          </w:tcPr>
          <w:p w:rsidR="007A6BC0" w:rsidRDefault="002E249B">
            <w:pPr>
              <w:keepNext/>
              <w:keepLines/>
              <w:spacing w:after="0" w:line="240" w:lineRule="auto"/>
            </w:pPr>
            <w:r>
              <w:rPr>
                <w:sz w:val="18"/>
              </w:rPr>
              <w:t>673</w:t>
            </w:r>
          </w:p>
        </w:tc>
        <w:tc>
          <w:tcPr>
            <w:tcW w:w="1860" w:type="dxa"/>
            <w:tcMar>
              <w:top w:w="0" w:type="dxa"/>
              <w:bottom w:w="0" w:type="dxa"/>
            </w:tcMar>
            <w:vAlign w:val="center"/>
          </w:tcPr>
          <w:p w:rsidR="007A6BC0" w:rsidRDefault="002E249B">
            <w:pPr>
              <w:keepNext/>
              <w:keepLines/>
              <w:spacing w:after="0" w:line="240" w:lineRule="auto"/>
              <w:jc w:val="right"/>
            </w:pPr>
            <w:r>
              <w:rPr>
                <w:sz w:val="18"/>
              </w:rPr>
              <w:t>7.513.720,64</w:t>
            </w:r>
          </w:p>
        </w:tc>
        <w:tc>
          <w:tcPr>
            <w:tcW w:w="1860" w:type="dxa"/>
            <w:tcMar>
              <w:top w:w="0" w:type="dxa"/>
              <w:bottom w:w="0" w:type="dxa"/>
            </w:tcMar>
            <w:vAlign w:val="center"/>
          </w:tcPr>
          <w:p w:rsidR="007A6BC0" w:rsidRDefault="002E249B">
            <w:pPr>
              <w:keepNext/>
              <w:keepLines/>
              <w:spacing w:after="0" w:line="240" w:lineRule="auto"/>
              <w:jc w:val="right"/>
            </w:pPr>
            <w:r>
              <w:rPr>
                <w:sz w:val="18"/>
              </w:rPr>
              <w:t>7.386.559,10</w:t>
            </w:r>
          </w:p>
        </w:tc>
        <w:tc>
          <w:tcPr>
            <w:tcW w:w="700" w:type="dxa"/>
            <w:tcMar>
              <w:top w:w="0" w:type="dxa"/>
              <w:bottom w:w="0" w:type="dxa"/>
            </w:tcMar>
            <w:vAlign w:val="center"/>
          </w:tcPr>
          <w:p w:rsidR="007A6BC0" w:rsidRDefault="002E249B">
            <w:pPr>
              <w:keepNext/>
              <w:keepLines/>
              <w:spacing w:after="0" w:line="240" w:lineRule="auto"/>
              <w:jc w:val="right"/>
            </w:pPr>
            <w:r>
              <w:rPr>
                <w:sz w:val="18"/>
              </w:rPr>
              <w:t>98,3</w:t>
            </w:r>
          </w:p>
        </w:tc>
      </w:tr>
    </w:tbl>
    <w:p w:rsidR="007A6BC0" w:rsidRDefault="007A6BC0">
      <w:pPr>
        <w:spacing w:after="0"/>
      </w:pPr>
    </w:p>
    <w:p w:rsidR="007A6BC0" w:rsidRDefault="002E249B">
      <w:pPr>
        <w:spacing w:line="240" w:lineRule="auto"/>
        <w:jc w:val="both"/>
      </w:pPr>
      <w:r>
        <w:t xml:space="preserve">Prihodi su u promatranom razdoblju manji za 1,70% odnosno za 127.161,54 eura u odnosu na isto razdoblje 2024. godine. Navedeno smanjenje prvenstveno je rezultat manjeg izvršenja </w:t>
      </w:r>
      <w:r>
        <w:t>dodijeljenih limitiranih sredstava u poslovnoj 2025. godini. Budući da se limiti evidentiraju na prihodovnoj strani prema razini izvršenja, neizvršeni iznos iskazuje se kao obveza za neizvršeni rad prema HZZO-u. Razlog smanjenog izvršenja limita je zatvara</w:t>
      </w:r>
      <w:r>
        <w:t>nje objekta Minerva s danom 28. veljače 2025. godine, što je zbog manjka smještajnih kapaciteta imalo izravan negativan utjecaj na ukupno izvršenje.</w:t>
      </w:r>
    </w:p>
    <w:p w:rsidR="007A6BC0" w:rsidRDefault="007A6BC0"/>
    <w:p w:rsidR="007A6BC0" w:rsidRDefault="002E249B">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w:t>
            </w:r>
            <w:r>
              <w:rPr>
                <w:b/>
                <w:sz w:val="18"/>
              </w:rPr>
              <w: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68</w:t>
            </w:r>
          </w:p>
        </w:tc>
        <w:tc>
          <w:tcPr>
            <w:tcW w:w="3180" w:type="dxa"/>
            <w:tcMar>
              <w:top w:w="0" w:type="dxa"/>
              <w:bottom w:w="0" w:type="dxa"/>
            </w:tcMar>
            <w:vAlign w:val="center"/>
          </w:tcPr>
          <w:p w:rsidR="007A6BC0" w:rsidRDefault="002E249B">
            <w:pPr>
              <w:keepNext/>
              <w:keepLines/>
              <w:spacing w:after="0" w:line="240" w:lineRule="auto"/>
            </w:pPr>
            <w:r>
              <w:rPr>
                <w:sz w:val="18"/>
              </w:rPr>
              <w:t>Kazne, upravne mjere i ostali prihodi (šifre 681+683)</w:t>
            </w:r>
          </w:p>
        </w:tc>
        <w:tc>
          <w:tcPr>
            <w:tcW w:w="700" w:type="dxa"/>
            <w:tcMar>
              <w:top w:w="0" w:type="dxa"/>
              <w:bottom w:w="0" w:type="dxa"/>
            </w:tcMar>
            <w:vAlign w:val="center"/>
          </w:tcPr>
          <w:p w:rsidR="007A6BC0" w:rsidRDefault="002E249B">
            <w:pPr>
              <w:keepNext/>
              <w:keepLines/>
              <w:spacing w:after="0" w:line="240" w:lineRule="auto"/>
            </w:pPr>
            <w:r>
              <w:rPr>
                <w:sz w:val="18"/>
              </w:rPr>
              <w:t>68</w:t>
            </w:r>
          </w:p>
        </w:tc>
        <w:tc>
          <w:tcPr>
            <w:tcW w:w="1860" w:type="dxa"/>
            <w:tcMar>
              <w:top w:w="0" w:type="dxa"/>
              <w:bottom w:w="0" w:type="dxa"/>
            </w:tcMar>
            <w:vAlign w:val="center"/>
          </w:tcPr>
          <w:p w:rsidR="007A6BC0" w:rsidRDefault="002E249B">
            <w:pPr>
              <w:keepNext/>
              <w:keepLines/>
              <w:spacing w:after="0" w:line="240" w:lineRule="auto"/>
              <w:jc w:val="right"/>
            </w:pPr>
            <w:r>
              <w:rPr>
                <w:sz w:val="18"/>
              </w:rPr>
              <w:t>2.413,13</w:t>
            </w:r>
          </w:p>
        </w:tc>
        <w:tc>
          <w:tcPr>
            <w:tcW w:w="1860" w:type="dxa"/>
            <w:tcMar>
              <w:top w:w="0" w:type="dxa"/>
              <w:bottom w:w="0" w:type="dxa"/>
            </w:tcMar>
            <w:vAlign w:val="center"/>
          </w:tcPr>
          <w:p w:rsidR="007A6BC0" w:rsidRDefault="002E249B">
            <w:pPr>
              <w:keepNext/>
              <w:keepLines/>
              <w:spacing w:after="0" w:line="240" w:lineRule="auto"/>
              <w:jc w:val="right"/>
            </w:pPr>
            <w:r>
              <w:rPr>
                <w:sz w:val="18"/>
              </w:rPr>
              <w:t>539,26</w:t>
            </w:r>
          </w:p>
        </w:tc>
        <w:tc>
          <w:tcPr>
            <w:tcW w:w="700" w:type="dxa"/>
            <w:tcMar>
              <w:top w:w="0" w:type="dxa"/>
              <w:bottom w:w="0" w:type="dxa"/>
            </w:tcMar>
            <w:vAlign w:val="center"/>
          </w:tcPr>
          <w:p w:rsidR="007A6BC0" w:rsidRDefault="002E249B">
            <w:pPr>
              <w:keepNext/>
              <w:keepLines/>
              <w:spacing w:after="0" w:line="240" w:lineRule="auto"/>
              <w:jc w:val="right"/>
            </w:pPr>
            <w:r>
              <w:rPr>
                <w:sz w:val="18"/>
              </w:rPr>
              <w:t>22,3</w:t>
            </w:r>
          </w:p>
        </w:tc>
      </w:tr>
    </w:tbl>
    <w:p w:rsidR="007A6BC0" w:rsidRDefault="007A6BC0">
      <w:pPr>
        <w:spacing w:after="0"/>
      </w:pPr>
    </w:p>
    <w:p w:rsidR="007A6BC0" w:rsidRDefault="002E249B">
      <w:pPr>
        <w:spacing w:line="240" w:lineRule="auto"/>
        <w:jc w:val="both"/>
      </w:pPr>
      <w:r>
        <w:t xml:space="preserve">Evidentirano smanjenje za 77,70% ili za 1.873,87eura. Evidentirano je manje prihoda od popusta i rabata od </w:t>
      </w:r>
      <w:r>
        <w:t>trgovačkih društva.</w:t>
      </w:r>
    </w:p>
    <w:p w:rsidR="007A6BC0" w:rsidRDefault="007A6BC0"/>
    <w:p w:rsidR="007A6BC0" w:rsidRDefault="002E249B">
      <w:pPr>
        <w:keepNext/>
        <w:spacing w:line="240" w:lineRule="auto"/>
        <w:jc w:val="center"/>
      </w:pPr>
      <w:r>
        <w:rPr>
          <w:sz w:val="28"/>
        </w:rPr>
        <w:lastRenderedPageBreak/>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311</w:t>
            </w:r>
          </w:p>
        </w:tc>
        <w:tc>
          <w:tcPr>
            <w:tcW w:w="3180" w:type="dxa"/>
            <w:tcMar>
              <w:top w:w="0" w:type="dxa"/>
              <w:bottom w:w="0" w:type="dxa"/>
            </w:tcMar>
            <w:vAlign w:val="center"/>
          </w:tcPr>
          <w:p w:rsidR="007A6BC0" w:rsidRDefault="002E249B">
            <w:pPr>
              <w:keepNext/>
              <w:keepLines/>
              <w:spacing w:after="0" w:line="240" w:lineRule="auto"/>
            </w:pPr>
            <w:r>
              <w:rPr>
                <w:sz w:val="18"/>
              </w:rPr>
              <w:t>Plaće (bruto) (šifre 3111 do 3114)</w:t>
            </w:r>
          </w:p>
        </w:tc>
        <w:tc>
          <w:tcPr>
            <w:tcW w:w="700" w:type="dxa"/>
            <w:tcMar>
              <w:top w:w="0" w:type="dxa"/>
              <w:bottom w:w="0" w:type="dxa"/>
            </w:tcMar>
            <w:vAlign w:val="center"/>
          </w:tcPr>
          <w:p w:rsidR="007A6BC0" w:rsidRDefault="002E249B">
            <w:pPr>
              <w:keepNext/>
              <w:keepLines/>
              <w:spacing w:after="0" w:line="240" w:lineRule="auto"/>
            </w:pPr>
            <w:r>
              <w:rPr>
                <w:sz w:val="18"/>
              </w:rPr>
              <w:t>311</w:t>
            </w:r>
          </w:p>
        </w:tc>
        <w:tc>
          <w:tcPr>
            <w:tcW w:w="1860" w:type="dxa"/>
            <w:tcMar>
              <w:top w:w="0" w:type="dxa"/>
              <w:bottom w:w="0" w:type="dxa"/>
            </w:tcMar>
            <w:vAlign w:val="center"/>
          </w:tcPr>
          <w:p w:rsidR="007A6BC0" w:rsidRDefault="002E249B">
            <w:pPr>
              <w:keepNext/>
              <w:keepLines/>
              <w:spacing w:after="0" w:line="240" w:lineRule="auto"/>
              <w:jc w:val="right"/>
            </w:pPr>
            <w:r>
              <w:rPr>
                <w:sz w:val="18"/>
              </w:rPr>
              <w:t>7.400.157,73</w:t>
            </w:r>
          </w:p>
        </w:tc>
        <w:tc>
          <w:tcPr>
            <w:tcW w:w="1860" w:type="dxa"/>
            <w:tcMar>
              <w:top w:w="0" w:type="dxa"/>
              <w:bottom w:w="0" w:type="dxa"/>
            </w:tcMar>
            <w:vAlign w:val="center"/>
          </w:tcPr>
          <w:p w:rsidR="007A6BC0" w:rsidRDefault="002E249B">
            <w:pPr>
              <w:keepNext/>
              <w:keepLines/>
              <w:spacing w:after="0" w:line="240" w:lineRule="auto"/>
              <w:jc w:val="right"/>
            </w:pPr>
            <w:r>
              <w:rPr>
                <w:sz w:val="18"/>
              </w:rPr>
              <w:t>7.832.077,15</w:t>
            </w:r>
          </w:p>
        </w:tc>
        <w:tc>
          <w:tcPr>
            <w:tcW w:w="700" w:type="dxa"/>
            <w:tcMar>
              <w:top w:w="0" w:type="dxa"/>
              <w:bottom w:w="0" w:type="dxa"/>
            </w:tcMar>
            <w:vAlign w:val="center"/>
          </w:tcPr>
          <w:p w:rsidR="007A6BC0" w:rsidRDefault="002E249B">
            <w:pPr>
              <w:keepNext/>
              <w:keepLines/>
              <w:spacing w:after="0" w:line="240" w:lineRule="auto"/>
              <w:jc w:val="right"/>
            </w:pPr>
            <w:r>
              <w:rPr>
                <w:sz w:val="18"/>
              </w:rPr>
              <w:t>105,8</w:t>
            </w:r>
          </w:p>
        </w:tc>
      </w:tr>
    </w:tbl>
    <w:p w:rsidR="007A6BC0" w:rsidRDefault="007A6BC0">
      <w:pPr>
        <w:spacing w:after="0"/>
      </w:pPr>
    </w:p>
    <w:p w:rsidR="007A6BC0" w:rsidRDefault="002E249B">
      <w:pPr>
        <w:spacing w:line="240" w:lineRule="auto"/>
        <w:jc w:val="both"/>
      </w:pPr>
      <w:r>
        <w:t xml:space="preserve">Ukupni troškovi u poslovnoj 2025. godini iznose 7.832.077,15 eura, što predstavlja povećanje od 5,80 %, odnosno 431.919,42 eura u odnosu na isto razdoblje prethodne, 2024. godine. Povećanje ukupnih troškova prvenstveno je rezultat rasta </w:t>
      </w:r>
      <w:r>
        <w:t>koeficijenata za sva radna mjesta, s primjenom od 1. ožujka 2024. godine, kao i promjena u broju i strukturi zaposlenih. Unatoč porastu troškova, u 2025. godini zabilježen je pad ukupnog broja zaposlenih. Naime, na isti dan 2024. godine bilo je zaposleno 6</w:t>
      </w:r>
      <w:r>
        <w:t>93 djelatnika, dok je u 2025. godini taj broj smanjen na 666, što predstavlja smanjenje za 27 zaposlenih. S obzirom na navedene okolnosti, usporedba troškova plaća s istim razdobljem prethodne godine nije u potpunosti reprezentativna, budući da je povećanj</w:t>
      </w:r>
      <w:r>
        <w:t>e mase plaća najvećim dijelom posljedica rasta koeficijenata, dok je istovremeno zabilježeno smanjenje broja zaposlenih.</w:t>
      </w:r>
    </w:p>
    <w:p w:rsidR="007A6BC0" w:rsidRDefault="007A6BC0"/>
    <w:p w:rsidR="007A6BC0" w:rsidRDefault="002E249B">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w:t>
            </w:r>
            <w:r>
              <w:rPr>
                <w:b/>
                <w:sz w:val="18"/>
              </w:rPr>
              <w:t>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312</w:t>
            </w:r>
          </w:p>
        </w:tc>
        <w:tc>
          <w:tcPr>
            <w:tcW w:w="3180" w:type="dxa"/>
            <w:tcMar>
              <w:top w:w="0" w:type="dxa"/>
              <w:bottom w:w="0" w:type="dxa"/>
            </w:tcMar>
            <w:vAlign w:val="center"/>
          </w:tcPr>
          <w:p w:rsidR="007A6BC0" w:rsidRDefault="002E249B">
            <w:pPr>
              <w:keepNext/>
              <w:keepLines/>
              <w:spacing w:after="0" w:line="240" w:lineRule="auto"/>
            </w:pPr>
            <w:r>
              <w:rPr>
                <w:sz w:val="18"/>
              </w:rPr>
              <w:t>Ostali rashodi za zaposlene</w:t>
            </w:r>
          </w:p>
        </w:tc>
        <w:tc>
          <w:tcPr>
            <w:tcW w:w="700" w:type="dxa"/>
            <w:tcMar>
              <w:top w:w="0" w:type="dxa"/>
              <w:bottom w:w="0" w:type="dxa"/>
            </w:tcMar>
            <w:vAlign w:val="center"/>
          </w:tcPr>
          <w:p w:rsidR="007A6BC0" w:rsidRDefault="002E249B">
            <w:pPr>
              <w:keepNext/>
              <w:keepLines/>
              <w:spacing w:after="0" w:line="240" w:lineRule="auto"/>
            </w:pPr>
            <w:r>
              <w:rPr>
                <w:sz w:val="18"/>
              </w:rPr>
              <w:t>312</w:t>
            </w:r>
          </w:p>
        </w:tc>
        <w:tc>
          <w:tcPr>
            <w:tcW w:w="1860" w:type="dxa"/>
            <w:tcMar>
              <w:top w:w="0" w:type="dxa"/>
              <w:bottom w:w="0" w:type="dxa"/>
            </w:tcMar>
            <w:vAlign w:val="center"/>
          </w:tcPr>
          <w:p w:rsidR="007A6BC0" w:rsidRDefault="002E249B">
            <w:pPr>
              <w:keepNext/>
              <w:keepLines/>
              <w:spacing w:after="0" w:line="240" w:lineRule="auto"/>
              <w:jc w:val="right"/>
            </w:pPr>
            <w:r>
              <w:rPr>
                <w:sz w:val="18"/>
              </w:rPr>
              <w:t>169.479,33</w:t>
            </w:r>
          </w:p>
        </w:tc>
        <w:tc>
          <w:tcPr>
            <w:tcW w:w="1860" w:type="dxa"/>
            <w:tcMar>
              <w:top w:w="0" w:type="dxa"/>
              <w:bottom w:w="0" w:type="dxa"/>
            </w:tcMar>
            <w:vAlign w:val="center"/>
          </w:tcPr>
          <w:p w:rsidR="007A6BC0" w:rsidRDefault="002E249B">
            <w:pPr>
              <w:keepNext/>
              <w:keepLines/>
              <w:spacing w:after="0" w:line="240" w:lineRule="auto"/>
              <w:jc w:val="right"/>
            </w:pPr>
            <w:r>
              <w:rPr>
                <w:sz w:val="18"/>
              </w:rPr>
              <w:t>156.363,31</w:t>
            </w:r>
          </w:p>
        </w:tc>
        <w:tc>
          <w:tcPr>
            <w:tcW w:w="700" w:type="dxa"/>
            <w:tcMar>
              <w:top w:w="0" w:type="dxa"/>
              <w:bottom w:w="0" w:type="dxa"/>
            </w:tcMar>
            <w:vAlign w:val="center"/>
          </w:tcPr>
          <w:p w:rsidR="007A6BC0" w:rsidRDefault="002E249B">
            <w:pPr>
              <w:keepNext/>
              <w:keepLines/>
              <w:spacing w:after="0" w:line="240" w:lineRule="auto"/>
              <w:jc w:val="right"/>
            </w:pPr>
            <w:r>
              <w:rPr>
                <w:sz w:val="18"/>
              </w:rPr>
              <w:t>92,3</w:t>
            </w:r>
          </w:p>
        </w:tc>
      </w:tr>
    </w:tbl>
    <w:p w:rsidR="007A6BC0" w:rsidRDefault="007A6BC0">
      <w:pPr>
        <w:spacing w:after="0"/>
      </w:pPr>
    </w:p>
    <w:p w:rsidR="007A6BC0" w:rsidRDefault="002E249B">
      <w:pPr>
        <w:spacing w:line="240" w:lineRule="auto"/>
        <w:jc w:val="both"/>
      </w:pPr>
      <w:r>
        <w:t>Ukupni troškovi u promatranom razdoblju iznose 156.363,31 eura, što predstavlja smanjenje od 7,70 % u odnosu na isto razdoblje prethodne, 2024. godine. Smanjenje</w:t>
      </w:r>
      <w:r>
        <w:t xml:space="preserve"> ukupnih troškova ponajprije je rezultat manjeg broja zaposlenih, što se odrazilo na većinu stavki koje se odnose na prava iz radnog odnosa. Unatoč ukupnom padu, u poslovnoj 2025. godini zabilježen je rast izdataka za jubilarne nagrade, kao i za pomoći u p</w:t>
      </w:r>
      <w:r>
        <w:t xml:space="preserve">osebnim situacijama poput smrti, bolovanja i slično. S druge strane, na stavkama poput </w:t>
      </w:r>
      <w:proofErr w:type="spellStart"/>
      <w:r>
        <w:t>uskrsnica</w:t>
      </w:r>
      <w:proofErr w:type="spellEnd"/>
      <w:r>
        <w:t>, potpore za novorođeno dijete te otpremnina evidentirano je smanjenje izdataka u odnosu na prethodnu godinu. Ovakva kretanja ukazuju na promjene u broju i stru</w:t>
      </w:r>
      <w:r>
        <w:t>kturi radne snage.</w:t>
      </w:r>
    </w:p>
    <w:p w:rsidR="007A6BC0" w:rsidRDefault="007A6BC0"/>
    <w:p w:rsidR="007A6BC0" w:rsidRDefault="002E249B">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313</w:t>
            </w:r>
          </w:p>
        </w:tc>
        <w:tc>
          <w:tcPr>
            <w:tcW w:w="3180" w:type="dxa"/>
            <w:tcMar>
              <w:top w:w="0" w:type="dxa"/>
              <w:bottom w:w="0" w:type="dxa"/>
            </w:tcMar>
            <w:vAlign w:val="center"/>
          </w:tcPr>
          <w:p w:rsidR="007A6BC0" w:rsidRDefault="002E249B">
            <w:pPr>
              <w:keepNext/>
              <w:keepLines/>
              <w:spacing w:after="0" w:line="240" w:lineRule="auto"/>
            </w:pPr>
            <w:r>
              <w:rPr>
                <w:sz w:val="18"/>
              </w:rPr>
              <w:t>Doprinosi na plaće (šifre 3131 do 3133)</w:t>
            </w:r>
          </w:p>
        </w:tc>
        <w:tc>
          <w:tcPr>
            <w:tcW w:w="700" w:type="dxa"/>
            <w:tcMar>
              <w:top w:w="0" w:type="dxa"/>
              <w:bottom w:w="0" w:type="dxa"/>
            </w:tcMar>
            <w:vAlign w:val="center"/>
          </w:tcPr>
          <w:p w:rsidR="007A6BC0" w:rsidRDefault="002E249B">
            <w:pPr>
              <w:keepNext/>
              <w:keepLines/>
              <w:spacing w:after="0" w:line="240" w:lineRule="auto"/>
            </w:pPr>
            <w:r>
              <w:rPr>
                <w:sz w:val="18"/>
              </w:rPr>
              <w:t>313</w:t>
            </w:r>
          </w:p>
        </w:tc>
        <w:tc>
          <w:tcPr>
            <w:tcW w:w="1860" w:type="dxa"/>
            <w:tcMar>
              <w:top w:w="0" w:type="dxa"/>
              <w:bottom w:w="0" w:type="dxa"/>
            </w:tcMar>
            <w:vAlign w:val="center"/>
          </w:tcPr>
          <w:p w:rsidR="007A6BC0" w:rsidRDefault="002E249B">
            <w:pPr>
              <w:keepNext/>
              <w:keepLines/>
              <w:spacing w:after="0" w:line="240" w:lineRule="auto"/>
              <w:jc w:val="right"/>
            </w:pPr>
            <w:r>
              <w:rPr>
                <w:sz w:val="18"/>
              </w:rPr>
              <w:t>1.092.475,70</w:t>
            </w:r>
          </w:p>
        </w:tc>
        <w:tc>
          <w:tcPr>
            <w:tcW w:w="1860" w:type="dxa"/>
            <w:tcMar>
              <w:top w:w="0" w:type="dxa"/>
              <w:bottom w:w="0" w:type="dxa"/>
            </w:tcMar>
            <w:vAlign w:val="center"/>
          </w:tcPr>
          <w:p w:rsidR="007A6BC0" w:rsidRDefault="002E249B">
            <w:pPr>
              <w:keepNext/>
              <w:keepLines/>
              <w:spacing w:after="0" w:line="240" w:lineRule="auto"/>
              <w:jc w:val="right"/>
            </w:pPr>
            <w:r>
              <w:rPr>
                <w:sz w:val="18"/>
              </w:rPr>
              <w:t>1.161.001,51</w:t>
            </w:r>
          </w:p>
        </w:tc>
        <w:tc>
          <w:tcPr>
            <w:tcW w:w="700" w:type="dxa"/>
            <w:tcMar>
              <w:top w:w="0" w:type="dxa"/>
              <w:bottom w:w="0" w:type="dxa"/>
            </w:tcMar>
            <w:vAlign w:val="center"/>
          </w:tcPr>
          <w:p w:rsidR="007A6BC0" w:rsidRDefault="002E249B">
            <w:pPr>
              <w:keepNext/>
              <w:keepLines/>
              <w:spacing w:after="0" w:line="240" w:lineRule="auto"/>
              <w:jc w:val="right"/>
            </w:pPr>
            <w:r>
              <w:rPr>
                <w:sz w:val="18"/>
              </w:rPr>
              <w:t>106,3</w:t>
            </w:r>
          </w:p>
        </w:tc>
      </w:tr>
    </w:tbl>
    <w:p w:rsidR="007A6BC0" w:rsidRDefault="007A6BC0">
      <w:pPr>
        <w:spacing w:after="0"/>
      </w:pPr>
    </w:p>
    <w:p w:rsidR="007A6BC0" w:rsidRDefault="002E249B">
      <w:pPr>
        <w:spacing w:line="240" w:lineRule="auto"/>
        <w:jc w:val="both"/>
      </w:pPr>
      <w:r>
        <w:t>Rashodi ostvareni u iznosu 1.161.001,51 eura veći su za 6,30% ili za 68.525,81 eura u odnosu na isto razdoblje prethodne godine – posljedično prati rast bruto plaća, a isplaćeni su sukladno važećim Zakonskim propisima.</w:t>
      </w:r>
    </w:p>
    <w:p w:rsidR="007A6BC0" w:rsidRDefault="007A6BC0"/>
    <w:p w:rsidR="007A6BC0" w:rsidRDefault="002E249B">
      <w:pPr>
        <w:keepNext/>
        <w:spacing w:line="240" w:lineRule="auto"/>
        <w:jc w:val="center"/>
      </w:pPr>
      <w:r>
        <w:rPr>
          <w:sz w:val="28"/>
        </w:rPr>
        <w:lastRenderedPageBreak/>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321</w:t>
            </w:r>
          </w:p>
        </w:tc>
        <w:tc>
          <w:tcPr>
            <w:tcW w:w="3180" w:type="dxa"/>
            <w:tcMar>
              <w:top w:w="0" w:type="dxa"/>
              <w:bottom w:w="0" w:type="dxa"/>
            </w:tcMar>
            <w:vAlign w:val="center"/>
          </w:tcPr>
          <w:p w:rsidR="007A6BC0" w:rsidRDefault="002E249B">
            <w:pPr>
              <w:keepNext/>
              <w:keepLines/>
              <w:spacing w:after="0" w:line="240" w:lineRule="auto"/>
            </w:pPr>
            <w:r>
              <w:rPr>
                <w:sz w:val="18"/>
              </w:rPr>
              <w:t>Naknade troškova zaposlenima (šifre 3211 do 3214)</w:t>
            </w:r>
          </w:p>
        </w:tc>
        <w:tc>
          <w:tcPr>
            <w:tcW w:w="700" w:type="dxa"/>
            <w:tcMar>
              <w:top w:w="0" w:type="dxa"/>
              <w:bottom w:w="0" w:type="dxa"/>
            </w:tcMar>
            <w:vAlign w:val="center"/>
          </w:tcPr>
          <w:p w:rsidR="007A6BC0" w:rsidRDefault="002E249B">
            <w:pPr>
              <w:keepNext/>
              <w:keepLines/>
              <w:spacing w:after="0" w:line="240" w:lineRule="auto"/>
            </w:pPr>
            <w:r>
              <w:rPr>
                <w:sz w:val="18"/>
              </w:rPr>
              <w:t>321</w:t>
            </w:r>
          </w:p>
        </w:tc>
        <w:tc>
          <w:tcPr>
            <w:tcW w:w="1860" w:type="dxa"/>
            <w:tcMar>
              <w:top w:w="0" w:type="dxa"/>
              <w:bottom w:w="0" w:type="dxa"/>
            </w:tcMar>
            <w:vAlign w:val="center"/>
          </w:tcPr>
          <w:p w:rsidR="007A6BC0" w:rsidRDefault="002E249B">
            <w:pPr>
              <w:keepNext/>
              <w:keepLines/>
              <w:spacing w:after="0" w:line="240" w:lineRule="auto"/>
              <w:jc w:val="right"/>
            </w:pPr>
            <w:r>
              <w:rPr>
                <w:sz w:val="18"/>
              </w:rPr>
              <w:t>408.757,35</w:t>
            </w:r>
          </w:p>
        </w:tc>
        <w:tc>
          <w:tcPr>
            <w:tcW w:w="1860" w:type="dxa"/>
            <w:tcMar>
              <w:top w:w="0" w:type="dxa"/>
              <w:bottom w:w="0" w:type="dxa"/>
            </w:tcMar>
            <w:vAlign w:val="center"/>
          </w:tcPr>
          <w:p w:rsidR="007A6BC0" w:rsidRDefault="002E249B">
            <w:pPr>
              <w:keepNext/>
              <w:keepLines/>
              <w:spacing w:after="0" w:line="240" w:lineRule="auto"/>
              <w:jc w:val="right"/>
            </w:pPr>
            <w:r>
              <w:rPr>
                <w:sz w:val="18"/>
              </w:rPr>
              <w:t>369.282,74</w:t>
            </w:r>
          </w:p>
        </w:tc>
        <w:tc>
          <w:tcPr>
            <w:tcW w:w="700" w:type="dxa"/>
            <w:tcMar>
              <w:top w:w="0" w:type="dxa"/>
              <w:bottom w:w="0" w:type="dxa"/>
            </w:tcMar>
            <w:vAlign w:val="center"/>
          </w:tcPr>
          <w:p w:rsidR="007A6BC0" w:rsidRDefault="002E249B">
            <w:pPr>
              <w:keepNext/>
              <w:keepLines/>
              <w:spacing w:after="0" w:line="240" w:lineRule="auto"/>
              <w:jc w:val="right"/>
            </w:pPr>
            <w:r>
              <w:rPr>
                <w:sz w:val="18"/>
              </w:rPr>
              <w:t>90,3</w:t>
            </w:r>
          </w:p>
        </w:tc>
      </w:tr>
    </w:tbl>
    <w:p w:rsidR="007A6BC0" w:rsidRDefault="007A6BC0">
      <w:pPr>
        <w:spacing w:after="0"/>
      </w:pPr>
    </w:p>
    <w:p w:rsidR="007A6BC0" w:rsidRDefault="002E249B">
      <w:pPr>
        <w:spacing w:line="240" w:lineRule="auto"/>
        <w:jc w:val="both"/>
      </w:pPr>
      <w:r>
        <w:t xml:space="preserve">Ukupni troškovi u </w:t>
      </w:r>
      <w:r>
        <w:t xml:space="preserve">poslovnoj 2025. godini ostvareni su u iznosu od 369.282,74 eura, što predstavlja smanjenje od 9,70 % odnosno 39.474,61 eura u odnosu na isto razdoblje prethodne godine. Ovo smanjenje ponajprije je rezultat manjeg broja službenih putovanja zaposlenika, kao </w:t>
      </w:r>
      <w:r>
        <w:t>i smanjenih naknada za prijevoz na posao i s posla, što je izravno povezano s padom broja zaposlenih. Također, u usporedbi s prethodnom godinom, smanjen je i broj stručnih usavršavanja, čime je dodatno pridonijeto ukupnom smanjenju troškova. Navedena racio</w:t>
      </w:r>
      <w:r>
        <w:t>nalizacija troškova provedena je u skladu s odlukom Uprave bolnice da se, zbog izvođenja radova na projektu „Unapređenje kvalitete smještaja i sadržaja hotela Minerva“ te očekivanog pada prihoda tijekom radova, svi operativni izdaci svedu na minimalnu razi</w:t>
      </w:r>
      <w:r>
        <w:t>nu.</w:t>
      </w:r>
    </w:p>
    <w:p w:rsidR="007A6BC0" w:rsidRDefault="007A6BC0"/>
    <w:p w:rsidR="007A6BC0" w:rsidRDefault="002E249B">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322</w:t>
            </w:r>
          </w:p>
        </w:tc>
        <w:tc>
          <w:tcPr>
            <w:tcW w:w="3180" w:type="dxa"/>
            <w:tcMar>
              <w:top w:w="0" w:type="dxa"/>
              <w:bottom w:w="0" w:type="dxa"/>
            </w:tcMar>
            <w:vAlign w:val="center"/>
          </w:tcPr>
          <w:p w:rsidR="007A6BC0" w:rsidRDefault="002E249B">
            <w:pPr>
              <w:keepNext/>
              <w:keepLines/>
              <w:spacing w:after="0" w:line="240" w:lineRule="auto"/>
            </w:pPr>
            <w:r>
              <w:rPr>
                <w:sz w:val="18"/>
              </w:rPr>
              <w:t>Rashodi za materijal i energiju (šifre 3221 do 3227)</w:t>
            </w:r>
          </w:p>
        </w:tc>
        <w:tc>
          <w:tcPr>
            <w:tcW w:w="700" w:type="dxa"/>
            <w:tcMar>
              <w:top w:w="0" w:type="dxa"/>
              <w:bottom w:w="0" w:type="dxa"/>
            </w:tcMar>
            <w:vAlign w:val="center"/>
          </w:tcPr>
          <w:p w:rsidR="007A6BC0" w:rsidRDefault="002E249B">
            <w:pPr>
              <w:keepNext/>
              <w:keepLines/>
              <w:spacing w:after="0" w:line="240" w:lineRule="auto"/>
            </w:pPr>
            <w:r>
              <w:rPr>
                <w:sz w:val="18"/>
              </w:rPr>
              <w:t>322</w:t>
            </w:r>
          </w:p>
        </w:tc>
        <w:tc>
          <w:tcPr>
            <w:tcW w:w="1860" w:type="dxa"/>
            <w:tcMar>
              <w:top w:w="0" w:type="dxa"/>
              <w:bottom w:w="0" w:type="dxa"/>
            </w:tcMar>
            <w:vAlign w:val="center"/>
          </w:tcPr>
          <w:p w:rsidR="007A6BC0" w:rsidRDefault="002E249B">
            <w:pPr>
              <w:keepNext/>
              <w:keepLines/>
              <w:spacing w:after="0" w:line="240" w:lineRule="auto"/>
              <w:jc w:val="right"/>
            </w:pPr>
            <w:r>
              <w:rPr>
                <w:sz w:val="18"/>
              </w:rPr>
              <w:t>1.699.648,85</w:t>
            </w:r>
          </w:p>
        </w:tc>
        <w:tc>
          <w:tcPr>
            <w:tcW w:w="1860" w:type="dxa"/>
            <w:tcMar>
              <w:top w:w="0" w:type="dxa"/>
              <w:bottom w:w="0" w:type="dxa"/>
            </w:tcMar>
            <w:vAlign w:val="center"/>
          </w:tcPr>
          <w:p w:rsidR="007A6BC0" w:rsidRDefault="002E249B">
            <w:pPr>
              <w:keepNext/>
              <w:keepLines/>
              <w:spacing w:after="0" w:line="240" w:lineRule="auto"/>
              <w:jc w:val="right"/>
            </w:pPr>
            <w:r>
              <w:rPr>
                <w:sz w:val="18"/>
              </w:rPr>
              <w:t>985.549,46</w:t>
            </w:r>
          </w:p>
        </w:tc>
        <w:tc>
          <w:tcPr>
            <w:tcW w:w="700" w:type="dxa"/>
            <w:tcMar>
              <w:top w:w="0" w:type="dxa"/>
              <w:bottom w:w="0" w:type="dxa"/>
            </w:tcMar>
            <w:vAlign w:val="center"/>
          </w:tcPr>
          <w:p w:rsidR="007A6BC0" w:rsidRDefault="002E249B">
            <w:pPr>
              <w:keepNext/>
              <w:keepLines/>
              <w:spacing w:after="0" w:line="240" w:lineRule="auto"/>
              <w:jc w:val="right"/>
            </w:pPr>
            <w:r>
              <w:rPr>
                <w:sz w:val="18"/>
              </w:rPr>
              <w:t>58,0</w:t>
            </w:r>
          </w:p>
        </w:tc>
      </w:tr>
    </w:tbl>
    <w:p w:rsidR="007A6BC0" w:rsidRDefault="007A6BC0">
      <w:pPr>
        <w:spacing w:after="0"/>
      </w:pPr>
    </w:p>
    <w:p w:rsidR="007A6BC0" w:rsidRDefault="002E249B">
      <w:pPr>
        <w:spacing w:line="240" w:lineRule="auto"/>
        <w:jc w:val="both"/>
      </w:pPr>
      <w:r>
        <w:t xml:space="preserve">Ukupni troškovi u promatranom razdoblju iznose 985.549,46 eura, što predstavlja smanjenje od 42,00 % odnosno 714.099,39 eura u odnosu na isto razdoblje prethodne, 2024. godine. Smanjenje ukupnih troškova primarno je rezultat nižih izdataka za </w:t>
      </w:r>
      <w:r>
        <w:t>materijal i sirovine, što je izravna posljedica zatvaranja objekta Minerva s danom 28. veljače 2025. godine. Budući da tijekom tog razdoblja nije bilo korisnika smještajnih usluga, troškovi živežnih namirnica, kao i nabavne vrijednosti robe za trgovine, zn</w:t>
      </w:r>
      <w:r>
        <w:t>atno su umanjeni. Osim toga, zabilježeni su i manji troškovi za energiju, sitnog inventara, materijala za tekuće i investicijsko održavanje, što je dodatno doprinijelo ukupnom smanjenju troškova u ovoj kategoriji. Ovakva kretanja potvrđuju učinak privremen</w:t>
      </w:r>
      <w:r>
        <w:t>og zatvaranja objekta na operativne troškove i odražavaju ciljano upravljanje resursima u uvjetima smanjene poslovne aktivnosti.</w:t>
      </w:r>
    </w:p>
    <w:p w:rsidR="007A6BC0" w:rsidRDefault="007A6BC0"/>
    <w:p w:rsidR="007A6BC0" w:rsidRDefault="002E249B">
      <w:pPr>
        <w:keepNext/>
        <w:spacing w:line="240" w:lineRule="auto"/>
        <w:jc w:val="center"/>
      </w:pPr>
      <w:r>
        <w:rPr>
          <w:sz w:val="28"/>
        </w:rPr>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w:t>
            </w:r>
            <w:r>
              <w:rPr>
                <w:b/>
                <w:sz w:val="18"/>
              </w:rPr>
              <w:t>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323</w:t>
            </w:r>
          </w:p>
        </w:tc>
        <w:tc>
          <w:tcPr>
            <w:tcW w:w="3180" w:type="dxa"/>
            <w:tcMar>
              <w:top w:w="0" w:type="dxa"/>
              <w:bottom w:w="0" w:type="dxa"/>
            </w:tcMar>
            <w:vAlign w:val="center"/>
          </w:tcPr>
          <w:p w:rsidR="007A6BC0" w:rsidRDefault="002E249B">
            <w:pPr>
              <w:keepNext/>
              <w:keepLines/>
              <w:spacing w:after="0" w:line="240" w:lineRule="auto"/>
            </w:pPr>
            <w:r>
              <w:rPr>
                <w:sz w:val="18"/>
              </w:rPr>
              <w:t>Rashodi za usluge (šifre 3231 do 3239)</w:t>
            </w:r>
          </w:p>
        </w:tc>
        <w:tc>
          <w:tcPr>
            <w:tcW w:w="700" w:type="dxa"/>
            <w:tcMar>
              <w:top w:w="0" w:type="dxa"/>
              <w:bottom w:w="0" w:type="dxa"/>
            </w:tcMar>
            <w:vAlign w:val="center"/>
          </w:tcPr>
          <w:p w:rsidR="007A6BC0" w:rsidRDefault="002E249B">
            <w:pPr>
              <w:keepNext/>
              <w:keepLines/>
              <w:spacing w:after="0" w:line="240" w:lineRule="auto"/>
            </w:pPr>
            <w:r>
              <w:rPr>
                <w:sz w:val="18"/>
              </w:rPr>
              <w:t>323</w:t>
            </w:r>
          </w:p>
        </w:tc>
        <w:tc>
          <w:tcPr>
            <w:tcW w:w="1860" w:type="dxa"/>
            <w:tcMar>
              <w:top w:w="0" w:type="dxa"/>
              <w:bottom w:w="0" w:type="dxa"/>
            </w:tcMar>
            <w:vAlign w:val="center"/>
          </w:tcPr>
          <w:p w:rsidR="007A6BC0" w:rsidRDefault="002E249B">
            <w:pPr>
              <w:keepNext/>
              <w:keepLines/>
              <w:spacing w:after="0" w:line="240" w:lineRule="auto"/>
              <w:jc w:val="right"/>
            </w:pPr>
            <w:r>
              <w:rPr>
                <w:sz w:val="18"/>
              </w:rPr>
              <w:t>1.038.187,99</w:t>
            </w:r>
          </w:p>
        </w:tc>
        <w:tc>
          <w:tcPr>
            <w:tcW w:w="1860" w:type="dxa"/>
            <w:tcMar>
              <w:top w:w="0" w:type="dxa"/>
              <w:bottom w:w="0" w:type="dxa"/>
            </w:tcMar>
            <w:vAlign w:val="center"/>
          </w:tcPr>
          <w:p w:rsidR="007A6BC0" w:rsidRDefault="002E249B">
            <w:pPr>
              <w:keepNext/>
              <w:keepLines/>
              <w:spacing w:after="0" w:line="240" w:lineRule="auto"/>
              <w:jc w:val="right"/>
            </w:pPr>
            <w:r>
              <w:rPr>
                <w:sz w:val="18"/>
              </w:rPr>
              <w:t>919.483,80</w:t>
            </w:r>
          </w:p>
        </w:tc>
        <w:tc>
          <w:tcPr>
            <w:tcW w:w="700" w:type="dxa"/>
            <w:tcMar>
              <w:top w:w="0" w:type="dxa"/>
              <w:bottom w:w="0" w:type="dxa"/>
            </w:tcMar>
            <w:vAlign w:val="center"/>
          </w:tcPr>
          <w:p w:rsidR="007A6BC0" w:rsidRDefault="002E249B">
            <w:pPr>
              <w:keepNext/>
              <w:keepLines/>
              <w:spacing w:after="0" w:line="240" w:lineRule="auto"/>
              <w:jc w:val="right"/>
            </w:pPr>
            <w:r>
              <w:rPr>
                <w:sz w:val="18"/>
              </w:rPr>
              <w:t>88,6</w:t>
            </w:r>
          </w:p>
        </w:tc>
      </w:tr>
    </w:tbl>
    <w:p w:rsidR="007A6BC0" w:rsidRDefault="007A6BC0">
      <w:pPr>
        <w:spacing w:after="0"/>
      </w:pPr>
    </w:p>
    <w:p w:rsidR="007A6BC0" w:rsidRDefault="002E249B">
      <w:pPr>
        <w:spacing w:line="240" w:lineRule="auto"/>
        <w:jc w:val="both"/>
      </w:pPr>
      <w:r>
        <w:t xml:space="preserve">Ukupni troškovi u promatranom razdoblju iznose 919.483,80 eura, što predstavlja smanjenje od 11,40 % odnosno 118.704,19 eura u odnosu na </w:t>
      </w:r>
      <w:r>
        <w:t>isto razdoblje prethodne, 2024. godine. Smanjenje troškova ponajprije je evidentirano na stavkama koje se odnose na usluge tekućeg i investicijskog održavanja, usluge promidžbe i informiranja, računalne usluge, komunalne usluge, te intelektualne i osobne u</w:t>
      </w:r>
      <w:r>
        <w:t xml:space="preserve">sluge. S druge strane, porast troškova zabilježen je kod </w:t>
      </w:r>
      <w:r>
        <w:lastRenderedPageBreak/>
        <w:t>zdravstvenih i veterinarskih zakupnina i najamnina te ostalih usluga. Ostale usluge bilježe povećanje za 38,10%, a odnose se na usluge tjelesne zaštite – cijena sata rada je znatno viša nego u isto r</w:t>
      </w:r>
      <w:r>
        <w:t>azdoblje prethodne godine. Ukupno gledano, blago smanjenje ukupnih rashoda rezultat je uravnoteženja između racionalizacije pojedinih usluga i porasta troškova u drugim kategorijama, što odražava prilagodbu poslovanja aktualnim potrebama i tržišnim uvjetim</w:t>
      </w:r>
      <w:r>
        <w:t>a.</w:t>
      </w:r>
    </w:p>
    <w:p w:rsidR="007A6BC0" w:rsidRDefault="007A6BC0"/>
    <w:p w:rsidR="007A6BC0" w:rsidRDefault="002E249B">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325</w:t>
            </w:r>
          </w:p>
        </w:tc>
        <w:tc>
          <w:tcPr>
            <w:tcW w:w="3180" w:type="dxa"/>
            <w:tcMar>
              <w:top w:w="0" w:type="dxa"/>
              <w:bottom w:w="0" w:type="dxa"/>
            </w:tcMar>
            <w:vAlign w:val="center"/>
          </w:tcPr>
          <w:p w:rsidR="007A6BC0" w:rsidRDefault="002E249B">
            <w:pPr>
              <w:keepNext/>
              <w:keepLines/>
              <w:spacing w:after="0" w:line="240" w:lineRule="auto"/>
            </w:pPr>
            <w:r>
              <w:rPr>
                <w:sz w:val="18"/>
              </w:rPr>
              <w:t>Rashodi lijekova i potrošnog medicinskog materijala kod zdravstvenih ustanova (šifre</w:t>
            </w:r>
            <w:r>
              <w:rPr>
                <w:sz w:val="18"/>
              </w:rPr>
              <w:t xml:space="preserve"> 3251 do 3254)</w:t>
            </w:r>
          </w:p>
        </w:tc>
        <w:tc>
          <w:tcPr>
            <w:tcW w:w="700" w:type="dxa"/>
            <w:tcMar>
              <w:top w:w="0" w:type="dxa"/>
              <w:bottom w:w="0" w:type="dxa"/>
            </w:tcMar>
            <w:vAlign w:val="center"/>
          </w:tcPr>
          <w:p w:rsidR="007A6BC0" w:rsidRDefault="002E249B">
            <w:pPr>
              <w:keepNext/>
              <w:keepLines/>
              <w:spacing w:after="0" w:line="240" w:lineRule="auto"/>
            </w:pPr>
            <w:r>
              <w:rPr>
                <w:sz w:val="18"/>
              </w:rPr>
              <w:t>325</w:t>
            </w:r>
          </w:p>
        </w:tc>
        <w:tc>
          <w:tcPr>
            <w:tcW w:w="1860" w:type="dxa"/>
            <w:tcMar>
              <w:top w:w="0" w:type="dxa"/>
              <w:bottom w:w="0" w:type="dxa"/>
            </w:tcMar>
            <w:vAlign w:val="center"/>
          </w:tcPr>
          <w:p w:rsidR="007A6BC0" w:rsidRDefault="002E249B">
            <w:pPr>
              <w:keepNext/>
              <w:keepLines/>
              <w:spacing w:after="0" w:line="240" w:lineRule="auto"/>
              <w:jc w:val="right"/>
            </w:pPr>
            <w:r>
              <w:rPr>
                <w:sz w:val="18"/>
              </w:rPr>
              <w:t>0,00</w:t>
            </w:r>
          </w:p>
        </w:tc>
        <w:tc>
          <w:tcPr>
            <w:tcW w:w="1860" w:type="dxa"/>
            <w:tcMar>
              <w:top w:w="0" w:type="dxa"/>
              <w:bottom w:w="0" w:type="dxa"/>
            </w:tcMar>
            <w:vAlign w:val="center"/>
          </w:tcPr>
          <w:p w:rsidR="007A6BC0" w:rsidRDefault="002E249B">
            <w:pPr>
              <w:keepNext/>
              <w:keepLines/>
              <w:spacing w:after="0" w:line="240" w:lineRule="auto"/>
              <w:jc w:val="right"/>
            </w:pPr>
            <w:r>
              <w:rPr>
                <w:sz w:val="18"/>
              </w:rPr>
              <w:t>255.621,25</w:t>
            </w:r>
          </w:p>
        </w:tc>
        <w:tc>
          <w:tcPr>
            <w:tcW w:w="700" w:type="dxa"/>
            <w:tcMar>
              <w:top w:w="0" w:type="dxa"/>
              <w:bottom w:w="0" w:type="dxa"/>
            </w:tcMar>
            <w:vAlign w:val="center"/>
          </w:tcPr>
          <w:p w:rsidR="007A6BC0" w:rsidRDefault="002E249B">
            <w:pPr>
              <w:keepNext/>
              <w:keepLines/>
              <w:spacing w:after="0" w:line="240" w:lineRule="auto"/>
              <w:jc w:val="right"/>
            </w:pPr>
            <w:r>
              <w:rPr>
                <w:sz w:val="18"/>
              </w:rPr>
              <w:t>-</w:t>
            </w:r>
          </w:p>
        </w:tc>
      </w:tr>
    </w:tbl>
    <w:p w:rsidR="007A6BC0" w:rsidRDefault="007A6BC0">
      <w:pPr>
        <w:spacing w:after="0"/>
      </w:pPr>
    </w:p>
    <w:p w:rsidR="007A6BC0" w:rsidRDefault="002E249B">
      <w:pPr>
        <w:spacing w:line="240" w:lineRule="auto"/>
        <w:jc w:val="both"/>
      </w:pPr>
      <w:r>
        <w:t xml:space="preserve">Ukupni troškovi za lijekove i potrošni medicinski materijal u poslovnoj 2025. godini iznose 255.621,25 eura. U prethodnoj, 2024. godini, ovi rashodi iskazivali su se unutar skupine konta 322, dok je primjenom novog </w:t>
      </w:r>
      <w:r>
        <w:t>Pravilnika uvedena posebna skupina konta (325) za praćenje troškova lijekova i potrošnog medicinskog materijala, čime je omogućena preciznija evidencija i analiza. Analizom ukupnih troškova za lijekove i potrošni medicinski materijal u istom razdoblju pret</w:t>
      </w:r>
      <w:r>
        <w:t>hodne godine, kada su iznosili 280.624,46 eura, utvrđeno je smanjenje od 8,91 % odnosno 25.003,21 eura. Ovaj blagi pad prvenstveno se može pripisati implementaciji sustava kontrole i racionalizacije potrošnje lijekova i materijala (bolja evidencija zaliha,</w:t>
      </w:r>
      <w:r>
        <w:t xml:space="preserve"> nadzor korištenja) čime se izbjegava nepotrebna ili prekomjerna primjena lijekova i materijala.</w:t>
      </w:r>
    </w:p>
    <w:p w:rsidR="007A6BC0" w:rsidRDefault="007A6BC0"/>
    <w:p w:rsidR="007A6BC0" w:rsidRDefault="002E249B">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w:t>
            </w:r>
            <w:r>
              <w:rPr>
                <w:b/>
                <w:sz w:val="18"/>
              </w:rPr>
              <w:t xml:space="preserve">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329</w:t>
            </w:r>
          </w:p>
        </w:tc>
        <w:tc>
          <w:tcPr>
            <w:tcW w:w="3180" w:type="dxa"/>
            <w:tcMar>
              <w:top w:w="0" w:type="dxa"/>
              <w:bottom w:w="0" w:type="dxa"/>
            </w:tcMar>
            <w:vAlign w:val="center"/>
          </w:tcPr>
          <w:p w:rsidR="007A6BC0" w:rsidRDefault="002E249B">
            <w:pPr>
              <w:keepNext/>
              <w:keepLines/>
              <w:spacing w:after="0" w:line="240" w:lineRule="auto"/>
            </w:pPr>
            <w:r>
              <w:rPr>
                <w:sz w:val="18"/>
              </w:rPr>
              <w:t>Ostali nespomenuti rashodi poslovanja (šifre 3291 do 3299)</w:t>
            </w:r>
          </w:p>
        </w:tc>
        <w:tc>
          <w:tcPr>
            <w:tcW w:w="700" w:type="dxa"/>
            <w:tcMar>
              <w:top w:w="0" w:type="dxa"/>
              <w:bottom w:w="0" w:type="dxa"/>
            </w:tcMar>
            <w:vAlign w:val="center"/>
          </w:tcPr>
          <w:p w:rsidR="007A6BC0" w:rsidRDefault="002E249B">
            <w:pPr>
              <w:keepNext/>
              <w:keepLines/>
              <w:spacing w:after="0" w:line="240" w:lineRule="auto"/>
            </w:pPr>
            <w:r>
              <w:rPr>
                <w:sz w:val="18"/>
              </w:rPr>
              <w:t>329</w:t>
            </w:r>
          </w:p>
        </w:tc>
        <w:tc>
          <w:tcPr>
            <w:tcW w:w="1860" w:type="dxa"/>
            <w:tcMar>
              <w:top w:w="0" w:type="dxa"/>
              <w:bottom w:w="0" w:type="dxa"/>
            </w:tcMar>
            <w:vAlign w:val="center"/>
          </w:tcPr>
          <w:p w:rsidR="007A6BC0" w:rsidRDefault="002E249B">
            <w:pPr>
              <w:keepNext/>
              <w:keepLines/>
              <w:spacing w:after="0" w:line="240" w:lineRule="auto"/>
              <w:jc w:val="right"/>
            </w:pPr>
            <w:r>
              <w:rPr>
                <w:sz w:val="18"/>
              </w:rPr>
              <w:t>248.512,11</w:t>
            </w:r>
          </w:p>
        </w:tc>
        <w:tc>
          <w:tcPr>
            <w:tcW w:w="1860" w:type="dxa"/>
            <w:tcMar>
              <w:top w:w="0" w:type="dxa"/>
              <w:bottom w:w="0" w:type="dxa"/>
            </w:tcMar>
            <w:vAlign w:val="center"/>
          </w:tcPr>
          <w:p w:rsidR="007A6BC0" w:rsidRDefault="002E249B">
            <w:pPr>
              <w:keepNext/>
              <w:keepLines/>
              <w:spacing w:after="0" w:line="240" w:lineRule="auto"/>
              <w:jc w:val="right"/>
            </w:pPr>
            <w:r>
              <w:rPr>
                <w:sz w:val="18"/>
              </w:rPr>
              <w:t>133.578,45</w:t>
            </w:r>
          </w:p>
        </w:tc>
        <w:tc>
          <w:tcPr>
            <w:tcW w:w="700" w:type="dxa"/>
            <w:tcMar>
              <w:top w:w="0" w:type="dxa"/>
              <w:bottom w:w="0" w:type="dxa"/>
            </w:tcMar>
            <w:vAlign w:val="center"/>
          </w:tcPr>
          <w:p w:rsidR="007A6BC0" w:rsidRDefault="002E249B">
            <w:pPr>
              <w:keepNext/>
              <w:keepLines/>
              <w:spacing w:after="0" w:line="240" w:lineRule="auto"/>
              <w:jc w:val="right"/>
            </w:pPr>
            <w:r>
              <w:rPr>
                <w:sz w:val="18"/>
              </w:rPr>
              <w:t>53,8</w:t>
            </w:r>
          </w:p>
        </w:tc>
      </w:tr>
    </w:tbl>
    <w:p w:rsidR="007A6BC0" w:rsidRDefault="007A6BC0">
      <w:pPr>
        <w:spacing w:after="0"/>
      </w:pPr>
    </w:p>
    <w:p w:rsidR="007A6BC0" w:rsidRDefault="002E249B">
      <w:pPr>
        <w:spacing w:line="240" w:lineRule="auto"/>
        <w:jc w:val="both"/>
      </w:pPr>
      <w:r>
        <w:t xml:space="preserve">ukupni troškovi za lijekove i potrošni medicinski materijal u poslovnoj 2025. godini iznose 255.621,25 eura. U prethodnoj, 2024. godini, ovi rashodi </w:t>
      </w:r>
      <w:r>
        <w:t xml:space="preserve">iskazivali su se unutar skupine konta 322, dok je primjenom novog Pravilnika uvedena posebna skupina konta (325) za praćenje troškova lijekova i potrošnog medicinskog materijala, čime je omogućena preciznija evidencija i analiza. Analizom ukupnih troškova </w:t>
      </w:r>
      <w:r>
        <w:t>za lijekove i potrošni medicinski materijal u istom razdoblju prethodne godine, kada su iznosili 280.624,46 eura, utvrđeno je smanjenje od 8,91 % odnosno 25.003,21 eura. Ovaj blagi pad prvenstveno se može pripisati implementaciji sustava kontrole i raciona</w:t>
      </w:r>
      <w:r>
        <w:t>lizacije potrošnje lijekova i materijala (bolja evidencija zaliha, nadzor korištenja) te standardizacija terapijskih protokola, čime se izbjegava nepotrebna ili prekomjerna primjena lijekova i materijala. Blago povećanje evidentira se na raznim pristojbama</w:t>
      </w:r>
      <w:r>
        <w:t xml:space="preserve"> i naknadama (0,05%), članarinama (3,00%) te na premijama osiguranja (62,90%) zbog osiguranja nove imovine (Nacionalno rehabilitacijski centar za osobe s bolestima i oštećenjima </w:t>
      </w:r>
      <w:proofErr w:type="spellStart"/>
      <w:r>
        <w:t>kralježnične</w:t>
      </w:r>
      <w:proofErr w:type="spellEnd"/>
      <w:r>
        <w:t xml:space="preserve"> moždine). Smanjenje navedenih troškova rezultat je dvaju ključnih</w:t>
      </w:r>
      <w:r>
        <w:t xml:space="preserve"> čimbenika: djelomično proizlazi iz odluke Uprave o racionalizaciji poslovanja kojom se odobravaju samo nužne i neophodne nabavke, a djelomično iz činjenice da je objekt Minerva zatvoren zbog radova na unaprjeđenju kvalitete smještaja i sadržaja. Zbog toga</w:t>
      </w:r>
      <w:r>
        <w:t xml:space="preserve"> je, primjerice, </w:t>
      </w:r>
      <w:r>
        <w:lastRenderedPageBreak/>
        <w:t xml:space="preserve">značajno smanjen trošak provizija </w:t>
      </w:r>
      <w:proofErr w:type="spellStart"/>
      <w:r>
        <w:t>kartičarskim</w:t>
      </w:r>
      <w:proofErr w:type="spellEnd"/>
      <w:r>
        <w:t xml:space="preserve"> kućama, s obzirom na to da u objektu nema naplate usluga.</w:t>
      </w:r>
    </w:p>
    <w:p w:rsidR="007A6BC0" w:rsidRDefault="007A6BC0"/>
    <w:p w:rsidR="007A6BC0" w:rsidRDefault="002E249B">
      <w:pPr>
        <w:keepNext/>
        <w:spacing w:line="240" w:lineRule="auto"/>
        <w:jc w:val="center"/>
      </w:pPr>
      <w:r>
        <w:rPr>
          <w:sz w:val="28"/>
        </w:rPr>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w:t>
            </w:r>
            <w:r>
              <w:rPr>
                <w:b/>
                <w:sz w:val="18"/>
              </w:rPr>
              <w:t>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342</w:t>
            </w:r>
          </w:p>
        </w:tc>
        <w:tc>
          <w:tcPr>
            <w:tcW w:w="3180" w:type="dxa"/>
            <w:tcMar>
              <w:top w:w="0" w:type="dxa"/>
              <w:bottom w:w="0" w:type="dxa"/>
            </w:tcMar>
            <w:vAlign w:val="center"/>
          </w:tcPr>
          <w:p w:rsidR="007A6BC0" w:rsidRDefault="002E249B">
            <w:pPr>
              <w:keepNext/>
              <w:keepLines/>
              <w:spacing w:after="0" w:line="240" w:lineRule="auto"/>
            </w:pPr>
            <w:r>
              <w:rPr>
                <w:sz w:val="18"/>
              </w:rPr>
              <w:t>Kamate za primljene kredite i zajmove (šifre 3421 do 3428)</w:t>
            </w:r>
          </w:p>
        </w:tc>
        <w:tc>
          <w:tcPr>
            <w:tcW w:w="700" w:type="dxa"/>
            <w:tcMar>
              <w:top w:w="0" w:type="dxa"/>
              <w:bottom w:w="0" w:type="dxa"/>
            </w:tcMar>
            <w:vAlign w:val="center"/>
          </w:tcPr>
          <w:p w:rsidR="007A6BC0" w:rsidRDefault="002E249B">
            <w:pPr>
              <w:keepNext/>
              <w:keepLines/>
              <w:spacing w:after="0" w:line="240" w:lineRule="auto"/>
            </w:pPr>
            <w:r>
              <w:rPr>
                <w:sz w:val="18"/>
              </w:rPr>
              <w:t>342</w:t>
            </w:r>
          </w:p>
        </w:tc>
        <w:tc>
          <w:tcPr>
            <w:tcW w:w="1860" w:type="dxa"/>
            <w:tcMar>
              <w:top w:w="0" w:type="dxa"/>
              <w:bottom w:w="0" w:type="dxa"/>
            </w:tcMar>
            <w:vAlign w:val="center"/>
          </w:tcPr>
          <w:p w:rsidR="007A6BC0" w:rsidRDefault="002E249B">
            <w:pPr>
              <w:keepNext/>
              <w:keepLines/>
              <w:spacing w:after="0" w:line="240" w:lineRule="auto"/>
              <w:jc w:val="right"/>
            </w:pPr>
            <w:r>
              <w:rPr>
                <w:sz w:val="18"/>
              </w:rPr>
              <w:t>54.452,24</w:t>
            </w:r>
          </w:p>
        </w:tc>
        <w:tc>
          <w:tcPr>
            <w:tcW w:w="1860" w:type="dxa"/>
            <w:tcMar>
              <w:top w:w="0" w:type="dxa"/>
              <w:bottom w:w="0" w:type="dxa"/>
            </w:tcMar>
            <w:vAlign w:val="center"/>
          </w:tcPr>
          <w:p w:rsidR="007A6BC0" w:rsidRDefault="002E249B">
            <w:pPr>
              <w:keepNext/>
              <w:keepLines/>
              <w:spacing w:after="0" w:line="240" w:lineRule="auto"/>
              <w:jc w:val="right"/>
            </w:pPr>
            <w:r>
              <w:rPr>
                <w:sz w:val="18"/>
              </w:rPr>
              <w:t>47.142,73</w:t>
            </w:r>
          </w:p>
        </w:tc>
        <w:tc>
          <w:tcPr>
            <w:tcW w:w="700" w:type="dxa"/>
            <w:tcMar>
              <w:top w:w="0" w:type="dxa"/>
              <w:bottom w:w="0" w:type="dxa"/>
            </w:tcMar>
            <w:vAlign w:val="center"/>
          </w:tcPr>
          <w:p w:rsidR="007A6BC0" w:rsidRDefault="002E249B">
            <w:pPr>
              <w:keepNext/>
              <w:keepLines/>
              <w:spacing w:after="0" w:line="240" w:lineRule="auto"/>
              <w:jc w:val="right"/>
            </w:pPr>
            <w:r>
              <w:rPr>
                <w:sz w:val="18"/>
              </w:rPr>
              <w:t>86,6</w:t>
            </w:r>
          </w:p>
        </w:tc>
      </w:tr>
    </w:tbl>
    <w:p w:rsidR="007A6BC0" w:rsidRDefault="007A6BC0">
      <w:pPr>
        <w:spacing w:after="0"/>
      </w:pPr>
    </w:p>
    <w:p w:rsidR="007A6BC0" w:rsidRDefault="002E249B">
      <w:pPr>
        <w:spacing w:line="240" w:lineRule="auto"/>
        <w:jc w:val="both"/>
      </w:pPr>
      <w:r>
        <w:t xml:space="preserve">Ukupni troškovi iznose 47.142,73 eura, što je smanjenje od 13,40% ili 7.309,51 eura u odnosu na isto razdoblje prethodne 2024. </w:t>
      </w:r>
      <w:r>
        <w:t xml:space="preserve">godine. Ovo smanjenje odnosi se na redovne kamate po okvirnom Cash </w:t>
      </w:r>
      <w:proofErr w:type="spellStart"/>
      <w:r>
        <w:t>pool</w:t>
      </w:r>
      <w:proofErr w:type="spellEnd"/>
      <w:r>
        <w:t xml:space="preserve"> kreditu i investicijskim kreditima (Zagrebačka banka i HBOR). Smanjenje je rezultat otplate glavnice, čime se proporcionalno smanjuju i kamate, kao i manjeg korištenja okvirnog Cash </w:t>
      </w:r>
      <w:proofErr w:type="spellStart"/>
      <w:r>
        <w:t>po</w:t>
      </w:r>
      <w:r>
        <w:t>ol</w:t>
      </w:r>
      <w:proofErr w:type="spellEnd"/>
      <w:r>
        <w:t xml:space="preserve"> kredita, što je također dovelo do nižih kamata.</w:t>
      </w:r>
    </w:p>
    <w:p w:rsidR="007A6BC0" w:rsidRDefault="007A6BC0"/>
    <w:p w:rsidR="007A6BC0" w:rsidRDefault="002E249B">
      <w:pPr>
        <w:keepNext/>
        <w:spacing w:line="240" w:lineRule="auto"/>
        <w:jc w:val="center"/>
      </w:pPr>
      <w:r>
        <w:rPr>
          <w:sz w:val="28"/>
        </w:rPr>
        <w:t>Bilješka 31.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343</w:t>
            </w:r>
          </w:p>
        </w:tc>
        <w:tc>
          <w:tcPr>
            <w:tcW w:w="3180" w:type="dxa"/>
            <w:tcMar>
              <w:top w:w="0" w:type="dxa"/>
              <w:bottom w:w="0" w:type="dxa"/>
            </w:tcMar>
            <w:vAlign w:val="center"/>
          </w:tcPr>
          <w:p w:rsidR="007A6BC0" w:rsidRDefault="002E249B">
            <w:pPr>
              <w:keepNext/>
              <w:keepLines/>
              <w:spacing w:after="0" w:line="240" w:lineRule="auto"/>
            </w:pPr>
            <w:r>
              <w:rPr>
                <w:sz w:val="18"/>
              </w:rPr>
              <w:t xml:space="preserve">Ostali financijski rashodi (šifre </w:t>
            </w:r>
            <w:r>
              <w:rPr>
                <w:sz w:val="18"/>
              </w:rPr>
              <w:t>3431 do 3434)</w:t>
            </w:r>
          </w:p>
        </w:tc>
        <w:tc>
          <w:tcPr>
            <w:tcW w:w="700" w:type="dxa"/>
            <w:tcMar>
              <w:top w:w="0" w:type="dxa"/>
              <w:bottom w:w="0" w:type="dxa"/>
            </w:tcMar>
            <w:vAlign w:val="center"/>
          </w:tcPr>
          <w:p w:rsidR="007A6BC0" w:rsidRDefault="002E249B">
            <w:pPr>
              <w:keepNext/>
              <w:keepLines/>
              <w:spacing w:after="0" w:line="240" w:lineRule="auto"/>
            </w:pPr>
            <w:r>
              <w:rPr>
                <w:sz w:val="18"/>
              </w:rPr>
              <w:t>343</w:t>
            </w:r>
          </w:p>
        </w:tc>
        <w:tc>
          <w:tcPr>
            <w:tcW w:w="1860" w:type="dxa"/>
            <w:tcMar>
              <w:top w:w="0" w:type="dxa"/>
              <w:bottom w:w="0" w:type="dxa"/>
            </w:tcMar>
            <w:vAlign w:val="center"/>
          </w:tcPr>
          <w:p w:rsidR="007A6BC0" w:rsidRDefault="002E249B">
            <w:pPr>
              <w:keepNext/>
              <w:keepLines/>
              <w:spacing w:after="0" w:line="240" w:lineRule="auto"/>
              <w:jc w:val="right"/>
            </w:pPr>
            <w:r>
              <w:rPr>
                <w:sz w:val="18"/>
              </w:rPr>
              <w:t>21.291,51</w:t>
            </w:r>
          </w:p>
        </w:tc>
        <w:tc>
          <w:tcPr>
            <w:tcW w:w="1860" w:type="dxa"/>
            <w:tcMar>
              <w:top w:w="0" w:type="dxa"/>
              <w:bottom w:w="0" w:type="dxa"/>
            </w:tcMar>
            <w:vAlign w:val="center"/>
          </w:tcPr>
          <w:p w:rsidR="007A6BC0" w:rsidRDefault="002E249B">
            <w:pPr>
              <w:keepNext/>
              <w:keepLines/>
              <w:spacing w:after="0" w:line="240" w:lineRule="auto"/>
              <w:jc w:val="right"/>
            </w:pPr>
            <w:r>
              <w:rPr>
                <w:sz w:val="18"/>
              </w:rPr>
              <w:t>20.435,73</w:t>
            </w:r>
          </w:p>
        </w:tc>
        <w:tc>
          <w:tcPr>
            <w:tcW w:w="700" w:type="dxa"/>
            <w:tcMar>
              <w:top w:w="0" w:type="dxa"/>
              <w:bottom w:w="0" w:type="dxa"/>
            </w:tcMar>
            <w:vAlign w:val="center"/>
          </w:tcPr>
          <w:p w:rsidR="007A6BC0" w:rsidRDefault="002E249B">
            <w:pPr>
              <w:keepNext/>
              <w:keepLines/>
              <w:spacing w:after="0" w:line="240" w:lineRule="auto"/>
              <w:jc w:val="right"/>
            </w:pPr>
            <w:r>
              <w:rPr>
                <w:sz w:val="18"/>
              </w:rPr>
              <w:t>96,0</w:t>
            </w:r>
          </w:p>
        </w:tc>
      </w:tr>
    </w:tbl>
    <w:p w:rsidR="007A6BC0" w:rsidRDefault="007A6BC0">
      <w:pPr>
        <w:spacing w:after="0"/>
      </w:pPr>
    </w:p>
    <w:p w:rsidR="007A6BC0" w:rsidRDefault="002E249B">
      <w:pPr>
        <w:spacing w:line="240" w:lineRule="auto"/>
        <w:jc w:val="both"/>
      </w:pPr>
      <w:r>
        <w:t xml:space="preserve">U odnosu na isto razdoblje prethodne, 2024. godine, ukupni troškovi bilježe smanjenje od 4,00 %, odnosno 855,78 eura. Ovo smanjenje prvenstveno je rezultat nižih troškova bankarskih usluga i usluga platnog </w:t>
      </w:r>
      <w:r>
        <w:t>prometa, kao i smanjenja negativnih tečajnih razlika koje su utjecale na smanjenje ukupnih troškova u ovoj kategoriji. S druge strane, zabilježen je porast troškova zateznih kamata, koji se odnose na zakašnjela plaćanja prema dobavljačima lijekova i potroš</w:t>
      </w:r>
      <w:r>
        <w:t xml:space="preserve">nog medicinskog materijala. Iako se s dobavljačima nastoje pregovarati uvjeti za otpis tih kamata, kod određenih partnera to više nije moguće jer nisu skloni pregovorima o otpisu kamate, čime su nastali dodatni troškovi. Kašnjenja u plaćanjima su rezultat </w:t>
      </w:r>
      <w:r>
        <w:t>zatvaranje objekta Minerva (ne ostvaruje se prihod).</w:t>
      </w:r>
    </w:p>
    <w:p w:rsidR="007A6BC0" w:rsidRDefault="007A6BC0"/>
    <w:p w:rsidR="007A6BC0" w:rsidRDefault="002E249B">
      <w:pPr>
        <w:keepNext/>
        <w:spacing w:line="240" w:lineRule="auto"/>
        <w:jc w:val="center"/>
      </w:pPr>
      <w:r>
        <w:rPr>
          <w:sz w:val="28"/>
        </w:rPr>
        <w:t>Bilješka 32.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372</w:t>
            </w:r>
          </w:p>
        </w:tc>
        <w:tc>
          <w:tcPr>
            <w:tcW w:w="3180" w:type="dxa"/>
            <w:tcMar>
              <w:top w:w="0" w:type="dxa"/>
              <w:bottom w:w="0" w:type="dxa"/>
            </w:tcMar>
            <w:vAlign w:val="center"/>
          </w:tcPr>
          <w:p w:rsidR="007A6BC0" w:rsidRDefault="002E249B">
            <w:pPr>
              <w:keepNext/>
              <w:keepLines/>
              <w:spacing w:after="0" w:line="240" w:lineRule="auto"/>
            </w:pPr>
            <w:r>
              <w:rPr>
                <w:sz w:val="18"/>
              </w:rPr>
              <w:t xml:space="preserve">Ostale naknade građanima i </w:t>
            </w:r>
            <w:r>
              <w:rPr>
                <w:sz w:val="18"/>
              </w:rPr>
              <w:t>kućanstvima iz proračuna (šifre 3721 do 3723)</w:t>
            </w:r>
          </w:p>
        </w:tc>
        <w:tc>
          <w:tcPr>
            <w:tcW w:w="700" w:type="dxa"/>
            <w:tcMar>
              <w:top w:w="0" w:type="dxa"/>
              <w:bottom w:w="0" w:type="dxa"/>
            </w:tcMar>
            <w:vAlign w:val="center"/>
          </w:tcPr>
          <w:p w:rsidR="007A6BC0" w:rsidRDefault="002E249B">
            <w:pPr>
              <w:keepNext/>
              <w:keepLines/>
              <w:spacing w:after="0" w:line="240" w:lineRule="auto"/>
            </w:pPr>
            <w:r>
              <w:rPr>
                <w:sz w:val="18"/>
              </w:rPr>
              <w:t>372</w:t>
            </w:r>
          </w:p>
        </w:tc>
        <w:tc>
          <w:tcPr>
            <w:tcW w:w="1860" w:type="dxa"/>
            <w:tcMar>
              <w:top w:w="0" w:type="dxa"/>
              <w:bottom w:w="0" w:type="dxa"/>
            </w:tcMar>
            <w:vAlign w:val="center"/>
          </w:tcPr>
          <w:p w:rsidR="007A6BC0" w:rsidRDefault="002E249B">
            <w:pPr>
              <w:keepNext/>
              <w:keepLines/>
              <w:spacing w:after="0" w:line="240" w:lineRule="auto"/>
              <w:jc w:val="right"/>
            </w:pPr>
            <w:r>
              <w:rPr>
                <w:sz w:val="18"/>
              </w:rPr>
              <w:t>1.672,38</w:t>
            </w:r>
          </w:p>
        </w:tc>
        <w:tc>
          <w:tcPr>
            <w:tcW w:w="1860" w:type="dxa"/>
            <w:tcMar>
              <w:top w:w="0" w:type="dxa"/>
              <w:bottom w:w="0" w:type="dxa"/>
            </w:tcMar>
            <w:vAlign w:val="center"/>
          </w:tcPr>
          <w:p w:rsidR="007A6BC0" w:rsidRDefault="002E249B">
            <w:pPr>
              <w:keepNext/>
              <w:keepLines/>
              <w:spacing w:after="0" w:line="240" w:lineRule="auto"/>
              <w:jc w:val="right"/>
            </w:pPr>
            <w:r>
              <w:rPr>
                <w:sz w:val="18"/>
              </w:rPr>
              <w:t>1.672,38</w:t>
            </w:r>
          </w:p>
        </w:tc>
        <w:tc>
          <w:tcPr>
            <w:tcW w:w="700" w:type="dxa"/>
            <w:tcMar>
              <w:top w:w="0" w:type="dxa"/>
              <w:bottom w:w="0" w:type="dxa"/>
            </w:tcMar>
            <w:vAlign w:val="center"/>
          </w:tcPr>
          <w:p w:rsidR="007A6BC0" w:rsidRDefault="002E249B">
            <w:pPr>
              <w:keepNext/>
              <w:keepLines/>
              <w:spacing w:after="0" w:line="240" w:lineRule="auto"/>
              <w:jc w:val="right"/>
            </w:pPr>
            <w:r>
              <w:rPr>
                <w:sz w:val="18"/>
              </w:rPr>
              <w:t>100</w:t>
            </w:r>
          </w:p>
        </w:tc>
      </w:tr>
    </w:tbl>
    <w:p w:rsidR="007A6BC0" w:rsidRDefault="007A6BC0">
      <w:pPr>
        <w:spacing w:after="0"/>
      </w:pPr>
    </w:p>
    <w:p w:rsidR="007A6BC0" w:rsidRDefault="002E249B">
      <w:pPr>
        <w:spacing w:line="240" w:lineRule="auto"/>
        <w:jc w:val="both"/>
      </w:pPr>
      <w:r>
        <w:t xml:space="preserve">Ostvareni trošak iznosi 1.672,38 eura, što je isti iznos kao i prethodne godine. Trošak se odnosi na stipendije za djecu preminulih radnika. Trenutno pravo na stipendiju ostvaruje </w:t>
      </w:r>
      <w:r>
        <w:t>troje djece, što je isto kao i prethodne godine.</w:t>
      </w:r>
    </w:p>
    <w:p w:rsidR="007A6BC0" w:rsidRDefault="007A6BC0"/>
    <w:p w:rsidR="007A6BC0" w:rsidRDefault="002E249B">
      <w:pPr>
        <w:keepNext/>
        <w:spacing w:line="240" w:lineRule="auto"/>
        <w:jc w:val="center"/>
      </w:pPr>
      <w:r>
        <w:rPr>
          <w:sz w:val="28"/>
        </w:rPr>
        <w:lastRenderedPageBreak/>
        <w:t>Bilješka 33.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9661</w:t>
            </w:r>
          </w:p>
        </w:tc>
        <w:tc>
          <w:tcPr>
            <w:tcW w:w="3180" w:type="dxa"/>
            <w:tcMar>
              <w:top w:w="0" w:type="dxa"/>
              <w:bottom w:w="0" w:type="dxa"/>
            </w:tcMar>
            <w:vAlign w:val="center"/>
          </w:tcPr>
          <w:p w:rsidR="007A6BC0" w:rsidRDefault="002E249B">
            <w:pPr>
              <w:keepNext/>
              <w:keepLines/>
              <w:spacing w:after="0" w:line="240" w:lineRule="auto"/>
            </w:pPr>
            <w:r>
              <w:rPr>
                <w:sz w:val="18"/>
              </w:rPr>
              <w:t>Prihodi od prodaje proizvoda i robe i</w:t>
            </w:r>
            <w:r>
              <w:rPr>
                <w:sz w:val="18"/>
              </w:rPr>
              <w:t xml:space="preserve"> pruženih usluga - nenaplaćeni</w:t>
            </w:r>
          </w:p>
        </w:tc>
        <w:tc>
          <w:tcPr>
            <w:tcW w:w="700" w:type="dxa"/>
            <w:tcMar>
              <w:top w:w="0" w:type="dxa"/>
              <w:bottom w:w="0" w:type="dxa"/>
            </w:tcMar>
            <w:vAlign w:val="center"/>
          </w:tcPr>
          <w:p w:rsidR="007A6BC0" w:rsidRDefault="002E249B">
            <w:pPr>
              <w:keepNext/>
              <w:keepLines/>
              <w:spacing w:after="0" w:line="240" w:lineRule="auto"/>
            </w:pPr>
            <w:r>
              <w:rPr>
                <w:sz w:val="18"/>
              </w:rPr>
              <w:t>9661</w:t>
            </w:r>
          </w:p>
        </w:tc>
        <w:tc>
          <w:tcPr>
            <w:tcW w:w="1860" w:type="dxa"/>
            <w:tcMar>
              <w:top w:w="0" w:type="dxa"/>
              <w:bottom w:w="0" w:type="dxa"/>
            </w:tcMar>
            <w:vAlign w:val="center"/>
          </w:tcPr>
          <w:p w:rsidR="007A6BC0" w:rsidRDefault="002E249B">
            <w:pPr>
              <w:keepNext/>
              <w:keepLines/>
              <w:spacing w:after="0" w:line="240" w:lineRule="auto"/>
              <w:jc w:val="right"/>
            </w:pPr>
            <w:r>
              <w:rPr>
                <w:sz w:val="18"/>
              </w:rPr>
              <w:t>137.669,90</w:t>
            </w:r>
          </w:p>
        </w:tc>
        <w:tc>
          <w:tcPr>
            <w:tcW w:w="1860" w:type="dxa"/>
            <w:tcMar>
              <w:top w:w="0" w:type="dxa"/>
              <w:bottom w:w="0" w:type="dxa"/>
            </w:tcMar>
            <w:vAlign w:val="center"/>
          </w:tcPr>
          <w:p w:rsidR="007A6BC0" w:rsidRDefault="002E249B">
            <w:pPr>
              <w:keepNext/>
              <w:keepLines/>
              <w:spacing w:after="0" w:line="240" w:lineRule="auto"/>
              <w:jc w:val="right"/>
            </w:pPr>
            <w:r>
              <w:rPr>
                <w:sz w:val="18"/>
              </w:rPr>
              <w:t>402.836,08</w:t>
            </w:r>
          </w:p>
        </w:tc>
        <w:tc>
          <w:tcPr>
            <w:tcW w:w="700" w:type="dxa"/>
            <w:tcMar>
              <w:top w:w="0" w:type="dxa"/>
              <w:bottom w:w="0" w:type="dxa"/>
            </w:tcMar>
            <w:vAlign w:val="center"/>
          </w:tcPr>
          <w:p w:rsidR="007A6BC0" w:rsidRDefault="002E249B">
            <w:pPr>
              <w:keepNext/>
              <w:keepLines/>
              <w:spacing w:after="0" w:line="240" w:lineRule="auto"/>
              <w:jc w:val="right"/>
            </w:pPr>
            <w:r>
              <w:rPr>
                <w:sz w:val="18"/>
              </w:rPr>
              <w:t>292,6</w:t>
            </w:r>
          </w:p>
        </w:tc>
      </w:tr>
    </w:tbl>
    <w:p w:rsidR="007A6BC0" w:rsidRDefault="007A6BC0">
      <w:pPr>
        <w:spacing w:after="0"/>
      </w:pPr>
    </w:p>
    <w:p w:rsidR="007A6BC0" w:rsidRDefault="002E249B">
      <w:pPr>
        <w:spacing w:line="240" w:lineRule="auto"/>
        <w:jc w:val="both"/>
      </w:pPr>
      <w:r>
        <w:t xml:space="preserve">U tekućoj godini prihodi su povećani za 192,60% ili 265.166,18 eura, te ukupno iznose 402.836,08 eura. Veći obračunati prihodi od prodaje i usluga rezultat su još uvijek neplaćenih faktura </w:t>
      </w:r>
      <w:r>
        <w:t>ispostavljenih na osobno zaduženje, trgovačka društva ili treće osobe, a naplata se očekuje u skladu s uvjetima dospijeća. Na obračunatim prihodima evidentiraju se i potraživanja koja su već utužena, ali do sada nisu naplaćena. Ova situacija ukazuje na pos</w:t>
      </w:r>
      <w:r>
        <w:t xml:space="preserve">tojeće </w:t>
      </w:r>
      <w:proofErr w:type="spellStart"/>
      <w:r>
        <w:t>nesrazmjere</w:t>
      </w:r>
      <w:proofErr w:type="spellEnd"/>
      <w:r>
        <w:t xml:space="preserve"> između obračunatih prihoda i stvarne naplate, pri čemu se naplata očekuje u valuti dospijeća, uključujući naplatu utuženih potraživanja.</w:t>
      </w:r>
    </w:p>
    <w:p w:rsidR="007A6BC0" w:rsidRDefault="007A6BC0"/>
    <w:p w:rsidR="007A6BC0" w:rsidRDefault="002E249B">
      <w:pPr>
        <w:keepNext/>
        <w:spacing w:line="240" w:lineRule="auto"/>
        <w:jc w:val="center"/>
      </w:pPr>
      <w:r>
        <w:rPr>
          <w:sz w:val="28"/>
        </w:rPr>
        <w:t>Bilješka 34.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Ostvareno u izvještajnom razdoblju prethodne </w:t>
            </w:r>
            <w:r>
              <w:rPr>
                <w:b/>
                <w:sz w:val="18"/>
              </w:rPr>
              <w:t>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9673</w:t>
            </w:r>
          </w:p>
        </w:tc>
        <w:tc>
          <w:tcPr>
            <w:tcW w:w="3180" w:type="dxa"/>
            <w:tcMar>
              <w:top w:w="0" w:type="dxa"/>
              <w:bottom w:w="0" w:type="dxa"/>
            </w:tcMar>
            <w:vAlign w:val="center"/>
          </w:tcPr>
          <w:p w:rsidR="007A6BC0" w:rsidRDefault="002E249B">
            <w:pPr>
              <w:keepNext/>
              <w:keepLines/>
              <w:spacing w:after="0" w:line="240" w:lineRule="auto"/>
            </w:pPr>
            <w:r>
              <w:rPr>
                <w:sz w:val="18"/>
              </w:rPr>
              <w:t>Obračunati prihodi od HZZO-a na temelju ugovornih obveza</w:t>
            </w:r>
          </w:p>
        </w:tc>
        <w:tc>
          <w:tcPr>
            <w:tcW w:w="700" w:type="dxa"/>
            <w:tcMar>
              <w:top w:w="0" w:type="dxa"/>
              <w:bottom w:w="0" w:type="dxa"/>
            </w:tcMar>
            <w:vAlign w:val="center"/>
          </w:tcPr>
          <w:p w:rsidR="007A6BC0" w:rsidRDefault="002E249B">
            <w:pPr>
              <w:keepNext/>
              <w:keepLines/>
              <w:spacing w:after="0" w:line="240" w:lineRule="auto"/>
            </w:pPr>
            <w:r>
              <w:rPr>
                <w:sz w:val="18"/>
              </w:rPr>
              <w:t>9673</w:t>
            </w:r>
          </w:p>
        </w:tc>
        <w:tc>
          <w:tcPr>
            <w:tcW w:w="1860" w:type="dxa"/>
            <w:tcMar>
              <w:top w:w="0" w:type="dxa"/>
              <w:bottom w:w="0" w:type="dxa"/>
            </w:tcMar>
            <w:vAlign w:val="center"/>
          </w:tcPr>
          <w:p w:rsidR="007A6BC0" w:rsidRDefault="002E249B">
            <w:pPr>
              <w:keepNext/>
              <w:keepLines/>
              <w:spacing w:after="0" w:line="240" w:lineRule="auto"/>
              <w:jc w:val="right"/>
            </w:pPr>
            <w:r>
              <w:rPr>
                <w:sz w:val="18"/>
              </w:rPr>
              <w:t>96.234,03</w:t>
            </w:r>
          </w:p>
        </w:tc>
        <w:tc>
          <w:tcPr>
            <w:tcW w:w="1860" w:type="dxa"/>
            <w:tcMar>
              <w:top w:w="0" w:type="dxa"/>
              <w:bottom w:w="0" w:type="dxa"/>
            </w:tcMar>
            <w:vAlign w:val="center"/>
          </w:tcPr>
          <w:p w:rsidR="007A6BC0" w:rsidRDefault="002E249B">
            <w:pPr>
              <w:keepNext/>
              <w:keepLines/>
              <w:spacing w:after="0" w:line="240" w:lineRule="auto"/>
              <w:jc w:val="right"/>
            </w:pPr>
            <w:r>
              <w:rPr>
                <w:sz w:val="18"/>
              </w:rPr>
              <w:t>92.130,37</w:t>
            </w:r>
          </w:p>
        </w:tc>
        <w:tc>
          <w:tcPr>
            <w:tcW w:w="700" w:type="dxa"/>
            <w:tcMar>
              <w:top w:w="0" w:type="dxa"/>
              <w:bottom w:w="0" w:type="dxa"/>
            </w:tcMar>
            <w:vAlign w:val="center"/>
          </w:tcPr>
          <w:p w:rsidR="007A6BC0" w:rsidRDefault="002E249B">
            <w:pPr>
              <w:keepNext/>
              <w:keepLines/>
              <w:spacing w:after="0" w:line="240" w:lineRule="auto"/>
              <w:jc w:val="right"/>
            </w:pPr>
            <w:r>
              <w:rPr>
                <w:sz w:val="18"/>
              </w:rPr>
              <w:t>95,7</w:t>
            </w:r>
          </w:p>
        </w:tc>
      </w:tr>
    </w:tbl>
    <w:p w:rsidR="007A6BC0" w:rsidRDefault="007A6BC0">
      <w:pPr>
        <w:spacing w:after="0"/>
      </w:pPr>
    </w:p>
    <w:p w:rsidR="007A6BC0" w:rsidRDefault="002E249B">
      <w:pPr>
        <w:spacing w:line="240" w:lineRule="auto"/>
        <w:jc w:val="both"/>
      </w:pPr>
      <w:r>
        <w:t xml:space="preserve">Ukupna potraživanja iznose 92.130,37 eura, što predstavlja smanjenje od 4,30%. Unutar ove </w:t>
      </w:r>
      <w:r>
        <w:t>skupine iskazuju se potraživanja za zaštitu zdravlja na radu te INO osiguranike.</w:t>
      </w:r>
    </w:p>
    <w:p w:rsidR="007A6BC0" w:rsidRDefault="007A6BC0"/>
    <w:p w:rsidR="007A6BC0" w:rsidRDefault="002E249B">
      <w:pPr>
        <w:keepNext/>
        <w:spacing w:line="240" w:lineRule="auto"/>
        <w:jc w:val="center"/>
      </w:pPr>
      <w:r>
        <w:rPr>
          <w:sz w:val="28"/>
        </w:rPr>
        <w:t>Bilješka 35.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721</w:t>
            </w:r>
          </w:p>
        </w:tc>
        <w:tc>
          <w:tcPr>
            <w:tcW w:w="3180" w:type="dxa"/>
            <w:tcMar>
              <w:top w:w="0" w:type="dxa"/>
              <w:bottom w:w="0" w:type="dxa"/>
            </w:tcMar>
            <w:vAlign w:val="center"/>
          </w:tcPr>
          <w:p w:rsidR="007A6BC0" w:rsidRDefault="002E249B">
            <w:pPr>
              <w:keepNext/>
              <w:keepLines/>
              <w:spacing w:after="0" w:line="240" w:lineRule="auto"/>
            </w:pPr>
            <w:r>
              <w:rPr>
                <w:sz w:val="18"/>
              </w:rPr>
              <w:t>Prihodi od prodaje građevinskih objekata (šifre 7211 do 7214)</w:t>
            </w:r>
          </w:p>
        </w:tc>
        <w:tc>
          <w:tcPr>
            <w:tcW w:w="700" w:type="dxa"/>
            <w:tcMar>
              <w:top w:w="0" w:type="dxa"/>
              <w:bottom w:w="0" w:type="dxa"/>
            </w:tcMar>
            <w:vAlign w:val="center"/>
          </w:tcPr>
          <w:p w:rsidR="007A6BC0" w:rsidRDefault="002E249B">
            <w:pPr>
              <w:keepNext/>
              <w:keepLines/>
              <w:spacing w:after="0" w:line="240" w:lineRule="auto"/>
            </w:pPr>
            <w:r>
              <w:rPr>
                <w:sz w:val="18"/>
              </w:rPr>
              <w:t>721</w:t>
            </w:r>
          </w:p>
        </w:tc>
        <w:tc>
          <w:tcPr>
            <w:tcW w:w="1860" w:type="dxa"/>
            <w:tcMar>
              <w:top w:w="0" w:type="dxa"/>
              <w:bottom w:w="0" w:type="dxa"/>
            </w:tcMar>
            <w:vAlign w:val="center"/>
          </w:tcPr>
          <w:p w:rsidR="007A6BC0" w:rsidRDefault="002E249B">
            <w:pPr>
              <w:keepNext/>
              <w:keepLines/>
              <w:spacing w:after="0" w:line="240" w:lineRule="auto"/>
              <w:jc w:val="right"/>
            </w:pPr>
            <w:r>
              <w:rPr>
                <w:sz w:val="18"/>
              </w:rPr>
              <w:t>96,08</w:t>
            </w:r>
          </w:p>
        </w:tc>
        <w:tc>
          <w:tcPr>
            <w:tcW w:w="1860" w:type="dxa"/>
            <w:tcMar>
              <w:top w:w="0" w:type="dxa"/>
              <w:bottom w:w="0" w:type="dxa"/>
            </w:tcMar>
            <w:vAlign w:val="center"/>
          </w:tcPr>
          <w:p w:rsidR="007A6BC0" w:rsidRDefault="002E249B">
            <w:pPr>
              <w:keepNext/>
              <w:keepLines/>
              <w:spacing w:after="0" w:line="240" w:lineRule="auto"/>
              <w:jc w:val="right"/>
            </w:pPr>
            <w:r>
              <w:rPr>
                <w:sz w:val="18"/>
              </w:rPr>
              <w:t>0,00</w:t>
            </w:r>
          </w:p>
        </w:tc>
        <w:tc>
          <w:tcPr>
            <w:tcW w:w="700" w:type="dxa"/>
            <w:tcMar>
              <w:top w:w="0" w:type="dxa"/>
              <w:bottom w:w="0" w:type="dxa"/>
            </w:tcMar>
            <w:vAlign w:val="center"/>
          </w:tcPr>
          <w:p w:rsidR="007A6BC0" w:rsidRDefault="002E249B">
            <w:pPr>
              <w:keepNext/>
              <w:keepLines/>
              <w:spacing w:after="0" w:line="240" w:lineRule="auto"/>
              <w:jc w:val="right"/>
            </w:pPr>
            <w:r>
              <w:rPr>
                <w:sz w:val="18"/>
              </w:rPr>
              <w:t>0</w:t>
            </w:r>
          </w:p>
        </w:tc>
      </w:tr>
    </w:tbl>
    <w:p w:rsidR="007A6BC0" w:rsidRDefault="007A6BC0">
      <w:pPr>
        <w:spacing w:after="0"/>
      </w:pPr>
    </w:p>
    <w:p w:rsidR="007A6BC0" w:rsidRDefault="002E249B">
      <w:pPr>
        <w:spacing w:line="240" w:lineRule="auto"/>
        <w:jc w:val="both"/>
      </w:pPr>
      <w:r>
        <w:t xml:space="preserve">Prethodne godine evidentiran iznos od 96,08 eura koji se je odnosio na otplatu stanova. Budući da su u tijeku poslovne 2024. godine svi stanovi otplaćeni, u poslovnoj 2025. </w:t>
      </w:r>
      <w:r>
        <w:t>godini nema evidentiranih prihoda s ove osnove</w:t>
      </w:r>
    </w:p>
    <w:p w:rsidR="007A6BC0" w:rsidRDefault="007A6BC0"/>
    <w:p w:rsidR="007A6BC0" w:rsidRDefault="002E249B">
      <w:pPr>
        <w:keepNext/>
        <w:spacing w:line="240" w:lineRule="auto"/>
        <w:jc w:val="center"/>
      </w:pPr>
      <w:r>
        <w:rPr>
          <w:sz w:val="28"/>
        </w:rPr>
        <w:t>Bilješka 36.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412</w:t>
            </w:r>
          </w:p>
        </w:tc>
        <w:tc>
          <w:tcPr>
            <w:tcW w:w="3180" w:type="dxa"/>
            <w:tcMar>
              <w:top w:w="0" w:type="dxa"/>
              <w:bottom w:w="0" w:type="dxa"/>
            </w:tcMar>
            <w:vAlign w:val="center"/>
          </w:tcPr>
          <w:p w:rsidR="007A6BC0" w:rsidRDefault="002E249B">
            <w:pPr>
              <w:keepNext/>
              <w:keepLines/>
              <w:spacing w:after="0" w:line="240" w:lineRule="auto"/>
            </w:pPr>
            <w:r>
              <w:rPr>
                <w:sz w:val="18"/>
              </w:rPr>
              <w:t xml:space="preserve">Nematerijalna imovina (šifre 4121 do </w:t>
            </w:r>
            <w:r>
              <w:rPr>
                <w:sz w:val="18"/>
              </w:rPr>
              <w:t>4126)</w:t>
            </w:r>
          </w:p>
        </w:tc>
        <w:tc>
          <w:tcPr>
            <w:tcW w:w="700" w:type="dxa"/>
            <w:tcMar>
              <w:top w:w="0" w:type="dxa"/>
              <w:bottom w:w="0" w:type="dxa"/>
            </w:tcMar>
            <w:vAlign w:val="center"/>
          </w:tcPr>
          <w:p w:rsidR="007A6BC0" w:rsidRDefault="002E249B">
            <w:pPr>
              <w:keepNext/>
              <w:keepLines/>
              <w:spacing w:after="0" w:line="240" w:lineRule="auto"/>
            </w:pPr>
            <w:r>
              <w:rPr>
                <w:sz w:val="18"/>
              </w:rPr>
              <w:t>412</w:t>
            </w:r>
          </w:p>
        </w:tc>
        <w:tc>
          <w:tcPr>
            <w:tcW w:w="1860" w:type="dxa"/>
            <w:tcMar>
              <w:top w:w="0" w:type="dxa"/>
              <w:bottom w:w="0" w:type="dxa"/>
            </w:tcMar>
            <w:vAlign w:val="center"/>
          </w:tcPr>
          <w:p w:rsidR="007A6BC0" w:rsidRDefault="002E249B">
            <w:pPr>
              <w:keepNext/>
              <w:keepLines/>
              <w:spacing w:after="0" w:line="240" w:lineRule="auto"/>
              <w:jc w:val="right"/>
            </w:pPr>
            <w:r>
              <w:rPr>
                <w:sz w:val="18"/>
              </w:rPr>
              <w:t>7.959,75</w:t>
            </w:r>
          </w:p>
        </w:tc>
        <w:tc>
          <w:tcPr>
            <w:tcW w:w="1860" w:type="dxa"/>
            <w:tcMar>
              <w:top w:w="0" w:type="dxa"/>
              <w:bottom w:w="0" w:type="dxa"/>
            </w:tcMar>
            <w:vAlign w:val="center"/>
          </w:tcPr>
          <w:p w:rsidR="007A6BC0" w:rsidRDefault="002E249B">
            <w:pPr>
              <w:keepNext/>
              <w:keepLines/>
              <w:spacing w:after="0" w:line="240" w:lineRule="auto"/>
              <w:jc w:val="right"/>
            </w:pPr>
            <w:r>
              <w:rPr>
                <w:sz w:val="18"/>
              </w:rPr>
              <w:t>8.307,50</w:t>
            </w:r>
          </w:p>
        </w:tc>
        <w:tc>
          <w:tcPr>
            <w:tcW w:w="700" w:type="dxa"/>
            <w:tcMar>
              <w:top w:w="0" w:type="dxa"/>
              <w:bottom w:w="0" w:type="dxa"/>
            </w:tcMar>
            <w:vAlign w:val="center"/>
          </w:tcPr>
          <w:p w:rsidR="007A6BC0" w:rsidRDefault="002E249B">
            <w:pPr>
              <w:keepNext/>
              <w:keepLines/>
              <w:spacing w:after="0" w:line="240" w:lineRule="auto"/>
              <w:jc w:val="right"/>
            </w:pPr>
            <w:r>
              <w:rPr>
                <w:sz w:val="18"/>
              </w:rPr>
              <w:t>104,4</w:t>
            </w:r>
          </w:p>
        </w:tc>
      </w:tr>
    </w:tbl>
    <w:p w:rsidR="007A6BC0" w:rsidRDefault="007A6BC0">
      <w:pPr>
        <w:spacing w:after="0"/>
      </w:pPr>
    </w:p>
    <w:p w:rsidR="007A6BC0" w:rsidRDefault="002E249B">
      <w:pPr>
        <w:spacing w:line="240" w:lineRule="auto"/>
        <w:jc w:val="both"/>
      </w:pPr>
      <w:r>
        <w:lastRenderedPageBreak/>
        <w:t>Bilježe povećanje za 4,40% ili za 347,75 eura. Obnovljen pristup bazi medicinske dokumentacije u elektronskom obliku '</w:t>
      </w:r>
      <w:proofErr w:type="spellStart"/>
      <w:r>
        <w:t>UpToDate</w:t>
      </w:r>
      <w:proofErr w:type="spellEnd"/>
      <w:r>
        <w:t xml:space="preserve"> </w:t>
      </w:r>
      <w:proofErr w:type="spellStart"/>
      <w:r>
        <w:t>Anywhere</w:t>
      </w:r>
      <w:proofErr w:type="spellEnd"/>
      <w:r>
        <w:t xml:space="preserve">", te naknada za održavanje postojećih licenci kao i prethodne godine. Povećanje se </w:t>
      </w:r>
      <w:r>
        <w:t>očituje u dodatnoj licenci za rad.</w:t>
      </w:r>
    </w:p>
    <w:p w:rsidR="007A6BC0" w:rsidRDefault="007A6BC0"/>
    <w:p w:rsidR="007A6BC0" w:rsidRDefault="002E249B">
      <w:pPr>
        <w:keepNext/>
        <w:spacing w:line="240" w:lineRule="auto"/>
        <w:jc w:val="center"/>
      </w:pPr>
      <w:r>
        <w:rPr>
          <w:sz w:val="28"/>
        </w:rPr>
        <w:t>Bilješka 37.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422</w:t>
            </w:r>
          </w:p>
        </w:tc>
        <w:tc>
          <w:tcPr>
            <w:tcW w:w="3180" w:type="dxa"/>
            <w:tcMar>
              <w:top w:w="0" w:type="dxa"/>
              <w:bottom w:w="0" w:type="dxa"/>
            </w:tcMar>
            <w:vAlign w:val="center"/>
          </w:tcPr>
          <w:p w:rsidR="007A6BC0" w:rsidRDefault="002E249B">
            <w:pPr>
              <w:keepNext/>
              <w:keepLines/>
              <w:spacing w:after="0" w:line="240" w:lineRule="auto"/>
            </w:pPr>
            <w:r>
              <w:rPr>
                <w:sz w:val="18"/>
              </w:rPr>
              <w:t>Postrojenja i oprema (šifre 4221 do 4228)</w:t>
            </w:r>
          </w:p>
        </w:tc>
        <w:tc>
          <w:tcPr>
            <w:tcW w:w="700" w:type="dxa"/>
            <w:tcMar>
              <w:top w:w="0" w:type="dxa"/>
              <w:bottom w:w="0" w:type="dxa"/>
            </w:tcMar>
            <w:vAlign w:val="center"/>
          </w:tcPr>
          <w:p w:rsidR="007A6BC0" w:rsidRDefault="002E249B">
            <w:pPr>
              <w:keepNext/>
              <w:keepLines/>
              <w:spacing w:after="0" w:line="240" w:lineRule="auto"/>
            </w:pPr>
            <w:r>
              <w:rPr>
                <w:sz w:val="18"/>
              </w:rPr>
              <w:t>422</w:t>
            </w:r>
          </w:p>
        </w:tc>
        <w:tc>
          <w:tcPr>
            <w:tcW w:w="1860" w:type="dxa"/>
            <w:tcMar>
              <w:top w:w="0" w:type="dxa"/>
              <w:bottom w:w="0" w:type="dxa"/>
            </w:tcMar>
            <w:vAlign w:val="center"/>
          </w:tcPr>
          <w:p w:rsidR="007A6BC0" w:rsidRDefault="002E249B">
            <w:pPr>
              <w:keepNext/>
              <w:keepLines/>
              <w:spacing w:after="0" w:line="240" w:lineRule="auto"/>
              <w:jc w:val="right"/>
            </w:pPr>
            <w:r>
              <w:rPr>
                <w:sz w:val="18"/>
              </w:rPr>
              <w:t>333.161,47</w:t>
            </w:r>
          </w:p>
        </w:tc>
        <w:tc>
          <w:tcPr>
            <w:tcW w:w="1860" w:type="dxa"/>
            <w:tcMar>
              <w:top w:w="0" w:type="dxa"/>
              <w:bottom w:w="0" w:type="dxa"/>
            </w:tcMar>
            <w:vAlign w:val="center"/>
          </w:tcPr>
          <w:p w:rsidR="007A6BC0" w:rsidRDefault="002E249B">
            <w:pPr>
              <w:keepNext/>
              <w:keepLines/>
              <w:spacing w:after="0" w:line="240" w:lineRule="auto"/>
              <w:jc w:val="right"/>
            </w:pPr>
            <w:r>
              <w:rPr>
                <w:sz w:val="18"/>
              </w:rPr>
              <w:t>183.445,27</w:t>
            </w:r>
          </w:p>
        </w:tc>
        <w:tc>
          <w:tcPr>
            <w:tcW w:w="700" w:type="dxa"/>
            <w:tcMar>
              <w:top w:w="0" w:type="dxa"/>
              <w:bottom w:w="0" w:type="dxa"/>
            </w:tcMar>
            <w:vAlign w:val="center"/>
          </w:tcPr>
          <w:p w:rsidR="007A6BC0" w:rsidRDefault="002E249B">
            <w:pPr>
              <w:keepNext/>
              <w:keepLines/>
              <w:spacing w:after="0" w:line="240" w:lineRule="auto"/>
              <w:jc w:val="right"/>
            </w:pPr>
            <w:r>
              <w:rPr>
                <w:sz w:val="18"/>
              </w:rPr>
              <w:t>55,1</w:t>
            </w:r>
          </w:p>
        </w:tc>
      </w:tr>
    </w:tbl>
    <w:p w:rsidR="007A6BC0" w:rsidRDefault="007A6BC0">
      <w:pPr>
        <w:spacing w:after="0"/>
      </w:pPr>
    </w:p>
    <w:p w:rsidR="007A6BC0" w:rsidRDefault="002E249B">
      <w:pPr>
        <w:spacing w:line="240" w:lineRule="auto"/>
        <w:jc w:val="both"/>
      </w:pPr>
      <w:r>
        <w:t xml:space="preserve">U odnosu na isto razdoblje prethodne, 2024. godinu, evidentirano je smanjenje od 44,90 %, odnosno 149.716,20 eura. Ovo smanjenje rezultat je nabave samo nužne i neophodne opreme u sklopu racionalizacije troškova. U poslovnoj </w:t>
      </w:r>
      <w:r>
        <w:t>2025. godini, nabavljena je sljedeća oprema: • Bar kod pisač za laboratorij, • 2 kartotečna ormara za jedinicu za centralno naručivanje, noćni ormarići za bolesničke sobe, mini kuhinja za praonicu rublja • Noćni ormarići i madraci za bolesničke sobe u obje</w:t>
      </w:r>
      <w:r>
        <w:t>ktu Terme, • Stolna pila za potrebe tehničke službe, kao dio opreme za održavanje i zaštitu, • Opremu za grijanje, ventilaciju i hlađenje (klima uređaje), • Perilicu i sušilicu rublja za potrebe praonice rublja • Razna medicinska oprema U tekućoj poslovnoj</w:t>
      </w:r>
      <w:r>
        <w:t xml:space="preserve"> godini, nabavka ovih stavki bit će ograničena na prioritetne potrebe, a sredstva za nabavu djelomično će se refundirati iz decentraliziranih sredstava.</w:t>
      </w:r>
    </w:p>
    <w:p w:rsidR="007A6BC0" w:rsidRDefault="007A6BC0"/>
    <w:p w:rsidR="007A6BC0" w:rsidRDefault="002E249B">
      <w:pPr>
        <w:keepNext/>
        <w:spacing w:line="240" w:lineRule="auto"/>
        <w:jc w:val="center"/>
      </w:pPr>
      <w:r>
        <w:rPr>
          <w:sz w:val="28"/>
        </w:rPr>
        <w:t>Bilješka 38.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423</w:t>
            </w:r>
          </w:p>
        </w:tc>
        <w:tc>
          <w:tcPr>
            <w:tcW w:w="3180" w:type="dxa"/>
            <w:tcMar>
              <w:top w:w="0" w:type="dxa"/>
              <w:bottom w:w="0" w:type="dxa"/>
            </w:tcMar>
            <w:vAlign w:val="center"/>
          </w:tcPr>
          <w:p w:rsidR="007A6BC0" w:rsidRDefault="002E249B">
            <w:pPr>
              <w:keepNext/>
              <w:keepLines/>
              <w:spacing w:after="0" w:line="240" w:lineRule="auto"/>
            </w:pPr>
            <w:r>
              <w:rPr>
                <w:sz w:val="18"/>
              </w:rPr>
              <w:t>Prijevozna sredstva (šifre 4231 do 4234)</w:t>
            </w:r>
          </w:p>
        </w:tc>
        <w:tc>
          <w:tcPr>
            <w:tcW w:w="700" w:type="dxa"/>
            <w:tcMar>
              <w:top w:w="0" w:type="dxa"/>
              <w:bottom w:w="0" w:type="dxa"/>
            </w:tcMar>
            <w:vAlign w:val="center"/>
          </w:tcPr>
          <w:p w:rsidR="007A6BC0" w:rsidRDefault="002E249B">
            <w:pPr>
              <w:keepNext/>
              <w:keepLines/>
              <w:spacing w:after="0" w:line="240" w:lineRule="auto"/>
            </w:pPr>
            <w:r>
              <w:rPr>
                <w:sz w:val="18"/>
              </w:rPr>
              <w:t>423</w:t>
            </w:r>
          </w:p>
        </w:tc>
        <w:tc>
          <w:tcPr>
            <w:tcW w:w="1860" w:type="dxa"/>
            <w:tcMar>
              <w:top w:w="0" w:type="dxa"/>
              <w:bottom w:w="0" w:type="dxa"/>
            </w:tcMar>
            <w:vAlign w:val="center"/>
          </w:tcPr>
          <w:p w:rsidR="007A6BC0" w:rsidRDefault="002E249B">
            <w:pPr>
              <w:keepNext/>
              <w:keepLines/>
              <w:spacing w:after="0" w:line="240" w:lineRule="auto"/>
              <w:jc w:val="right"/>
            </w:pPr>
            <w:r>
              <w:rPr>
                <w:sz w:val="18"/>
              </w:rPr>
              <w:t>33.707,19</w:t>
            </w:r>
          </w:p>
        </w:tc>
        <w:tc>
          <w:tcPr>
            <w:tcW w:w="1860" w:type="dxa"/>
            <w:tcMar>
              <w:top w:w="0" w:type="dxa"/>
              <w:bottom w:w="0" w:type="dxa"/>
            </w:tcMar>
            <w:vAlign w:val="center"/>
          </w:tcPr>
          <w:p w:rsidR="007A6BC0" w:rsidRDefault="002E249B">
            <w:pPr>
              <w:keepNext/>
              <w:keepLines/>
              <w:spacing w:after="0" w:line="240" w:lineRule="auto"/>
              <w:jc w:val="right"/>
            </w:pPr>
            <w:r>
              <w:rPr>
                <w:sz w:val="18"/>
              </w:rPr>
              <w:t>0,00</w:t>
            </w:r>
          </w:p>
        </w:tc>
        <w:tc>
          <w:tcPr>
            <w:tcW w:w="700" w:type="dxa"/>
            <w:tcMar>
              <w:top w:w="0" w:type="dxa"/>
              <w:bottom w:w="0" w:type="dxa"/>
            </w:tcMar>
            <w:vAlign w:val="center"/>
          </w:tcPr>
          <w:p w:rsidR="007A6BC0" w:rsidRDefault="002E249B">
            <w:pPr>
              <w:keepNext/>
              <w:keepLines/>
              <w:spacing w:after="0" w:line="240" w:lineRule="auto"/>
              <w:jc w:val="right"/>
            </w:pPr>
            <w:r>
              <w:rPr>
                <w:sz w:val="18"/>
              </w:rPr>
              <w:t>0</w:t>
            </w:r>
          </w:p>
        </w:tc>
      </w:tr>
    </w:tbl>
    <w:p w:rsidR="007A6BC0" w:rsidRDefault="007A6BC0">
      <w:pPr>
        <w:spacing w:after="0"/>
      </w:pPr>
    </w:p>
    <w:p w:rsidR="007A6BC0" w:rsidRDefault="002E249B">
      <w:pPr>
        <w:spacing w:line="240" w:lineRule="auto"/>
        <w:jc w:val="both"/>
      </w:pPr>
      <w:r>
        <w:t xml:space="preserve">Prethodne godine nabavljeno je novo službeno vozilo budući da raspoloživa vozila nisu zadovoljavala potrebe svih zaposlenika </w:t>
      </w:r>
      <w:r>
        <w:t>bolnice zbog odlazaka na edukacije, seminare i druge službene obveze u iznosu 33.707,19 eura. Poslovne godine zbog racionalizacije poslovanja i ušteda nećemo nabavljati nova prijevozna sredstva.</w:t>
      </w:r>
    </w:p>
    <w:p w:rsidR="007A6BC0" w:rsidRDefault="007A6BC0"/>
    <w:p w:rsidR="007A6BC0" w:rsidRDefault="002E249B">
      <w:pPr>
        <w:keepNext/>
        <w:spacing w:line="240" w:lineRule="auto"/>
        <w:jc w:val="center"/>
      </w:pPr>
      <w:r>
        <w:rPr>
          <w:sz w:val="28"/>
        </w:rPr>
        <w:t>Bilješka 39.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w:t>
            </w:r>
            <w:r>
              <w:rPr>
                <w:b/>
                <w:sz w:val="18"/>
              </w:rPr>
              <w:t xml:space="preserve">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426</w:t>
            </w:r>
          </w:p>
        </w:tc>
        <w:tc>
          <w:tcPr>
            <w:tcW w:w="3180" w:type="dxa"/>
            <w:tcMar>
              <w:top w:w="0" w:type="dxa"/>
              <w:bottom w:w="0" w:type="dxa"/>
            </w:tcMar>
            <w:vAlign w:val="center"/>
          </w:tcPr>
          <w:p w:rsidR="007A6BC0" w:rsidRDefault="002E249B">
            <w:pPr>
              <w:keepNext/>
              <w:keepLines/>
              <w:spacing w:after="0" w:line="240" w:lineRule="auto"/>
            </w:pPr>
            <w:r>
              <w:rPr>
                <w:sz w:val="18"/>
              </w:rPr>
              <w:t>Nematerijalna proizvedena imovina (šifre 4261 do 4264)</w:t>
            </w:r>
          </w:p>
        </w:tc>
        <w:tc>
          <w:tcPr>
            <w:tcW w:w="700" w:type="dxa"/>
            <w:tcMar>
              <w:top w:w="0" w:type="dxa"/>
              <w:bottom w:w="0" w:type="dxa"/>
            </w:tcMar>
            <w:vAlign w:val="center"/>
          </w:tcPr>
          <w:p w:rsidR="007A6BC0" w:rsidRDefault="002E249B">
            <w:pPr>
              <w:keepNext/>
              <w:keepLines/>
              <w:spacing w:after="0" w:line="240" w:lineRule="auto"/>
            </w:pPr>
            <w:r>
              <w:rPr>
                <w:sz w:val="18"/>
              </w:rPr>
              <w:t>426</w:t>
            </w:r>
          </w:p>
        </w:tc>
        <w:tc>
          <w:tcPr>
            <w:tcW w:w="1860" w:type="dxa"/>
            <w:tcMar>
              <w:top w:w="0" w:type="dxa"/>
              <w:bottom w:w="0" w:type="dxa"/>
            </w:tcMar>
            <w:vAlign w:val="center"/>
          </w:tcPr>
          <w:p w:rsidR="007A6BC0" w:rsidRDefault="002E249B">
            <w:pPr>
              <w:keepNext/>
              <w:keepLines/>
              <w:spacing w:after="0" w:line="240" w:lineRule="auto"/>
              <w:jc w:val="right"/>
            </w:pPr>
            <w:r>
              <w:rPr>
                <w:sz w:val="18"/>
              </w:rPr>
              <w:t>10.000,00</w:t>
            </w:r>
          </w:p>
        </w:tc>
        <w:tc>
          <w:tcPr>
            <w:tcW w:w="1860" w:type="dxa"/>
            <w:tcMar>
              <w:top w:w="0" w:type="dxa"/>
              <w:bottom w:w="0" w:type="dxa"/>
            </w:tcMar>
            <w:vAlign w:val="center"/>
          </w:tcPr>
          <w:p w:rsidR="007A6BC0" w:rsidRDefault="002E249B">
            <w:pPr>
              <w:keepNext/>
              <w:keepLines/>
              <w:spacing w:after="0" w:line="240" w:lineRule="auto"/>
              <w:jc w:val="right"/>
            </w:pPr>
            <w:r>
              <w:rPr>
                <w:sz w:val="18"/>
              </w:rPr>
              <w:t>0,00</w:t>
            </w:r>
          </w:p>
        </w:tc>
        <w:tc>
          <w:tcPr>
            <w:tcW w:w="700" w:type="dxa"/>
            <w:tcMar>
              <w:top w:w="0" w:type="dxa"/>
              <w:bottom w:w="0" w:type="dxa"/>
            </w:tcMar>
            <w:vAlign w:val="center"/>
          </w:tcPr>
          <w:p w:rsidR="007A6BC0" w:rsidRDefault="002E249B">
            <w:pPr>
              <w:keepNext/>
              <w:keepLines/>
              <w:spacing w:after="0" w:line="240" w:lineRule="auto"/>
              <w:jc w:val="right"/>
            </w:pPr>
            <w:r>
              <w:rPr>
                <w:sz w:val="18"/>
              </w:rPr>
              <w:t>0</w:t>
            </w:r>
          </w:p>
        </w:tc>
      </w:tr>
    </w:tbl>
    <w:p w:rsidR="007A6BC0" w:rsidRDefault="007A6BC0">
      <w:pPr>
        <w:spacing w:after="0"/>
      </w:pPr>
    </w:p>
    <w:p w:rsidR="007A6BC0" w:rsidRDefault="002E249B">
      <w:pPr>
        <w:spacing w:line="240" w:lineRule="auto"/>
        <w:jc w:val="both"/>
      </w:pPr>
      <w:r>
        <w:t xml:space="preserve">U poslovnoj 2024. godini završena je implementacije ljekarničkog </w:t>
      </w:r>
      <w:r>
        <w:t>programa sa odjelnim skladištima (za praćenje lijekova i potrošnog medicinskog materijala), dok  u poslovnoj 2025. godini nemamo evidentirana ulaganja u računalne programe.</w:t>
      </w:r>
    </w:p>
    <w:p w:rsidR="007A6BC0" w:rsidRDefault="007A6BC0"/>
    <w:p w:rsidR="007A6BC0" w:rsidRDefault="002E249B">
      <w:pPr>
        <w:keepNext/>
        <w:spacing w:line="240" w:lineRule="auto"/>
        <w:jc w:val="center"/>
      </w:pPr>
      <w:r>
        <w:rPr>
          <w:sz w:val="28"/>
        </w:rPr>
        <w:lastRenderedPageBreak/>
        <w:t>Bilješka 40.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w:t>
            </w:r>
            <w:r>
              <w:rPr>
                <w:b/>
                <w:sz w:val="18"/>
              </w:rPr>
              <w:t>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451</w:t>
            </w:r>
          </w:p>
        </w:tc>
        <w:tc>
          <w:tcPr>
            <w:tcW w:w="3180" w:type="dxa"/>
            <w:tcMar>
              <w:top w:w="0" w:type="dxa"/>
              <w:bottom w:w="0" w:type="dxa"/>
            </w:tcMar>
            <w:vAlign w:val="center"/>
          </w:tcPr>
          <w:p w:rsidR="007A6BC0" w:rsidRDefault="002E249B">
            <w:pPr>
              <w:keepNext/>
              <w:keepLines/>
              <w:spacing w:after="0" w:line="240" w:lineRule="auto"/>
            </w:pPr>
            <w:r>
              <w:rPr>
                <w:sz w:val="18"/>
              </w:rPr>
              <w:t>Dodatna ulaganja na građevinskim objektima</w:t>
            </w:r>
          </w:p>
        </w:tc>
        <w:tc>
          <w:tcPr>
            <w:tcW w:w="700" w:type="dxa"/>
            <w:tcMar>
              <w:top w:w="0" w:type="dxa"/>
              <w:bottom w:w="0" w:type="dxa"/>
            </w:tcMar>
            <w:vAlign w:val="center"/>
          </w:tcPr>
          <w:p w:rsidR="007A6BC0" w:rsidRDefault="002E249B">
            <w:pPr>
              <w:keepNext/>
              <w:keepLines/>
              <w:spacing w:after="0" w:line="240" w:lineRule="auto"/>
            </w:pPr>
            <w:r>
              <w:rPr>
                <w:sz w:val="18"/>
              </w:rPr>
              <w:t>451</w:t>
            </w:r>
          </w:p>
        </w:tc>
        <w:tc>
          <w:tcPr>
            <w:tcW w:w="1860" w:type="dxa"/>
            <w:tcMar>
              <w:top w:w="0" w:type="dxa"/>
              <w:bottom w:w="0" w:type="dxa"/>
            </w:tcMar>
            <w:vAlign w:val="center"/>
          </w:tcPr>
          <w:p w:rsidR="007A6BC0" w:rsidRDefault="002E249B">
            <w:pPr>
              <w:keepNext/>
              <w:keepLines/>
              <w:spacing w:after="0" w:line="240" w:lineRule="auto"/>
              <w:jc w:val="right"/>
            </w:pPr>
            <w:r>
              <w:rPr>
                <w:sz w:val="18"/>
              </w:rPr>
              <w:t>6.250,00</w:t>
            </w:r>
          </w:p>
        </w:tc>
        <w:tc>
          <w:tcPr>
            <w:tcW w:w="1860" w:type="dxa"/>
            <w:tcMar>
              <w:top w:w="0" w:type="dxa"/>
              <w:bottom w:w="0" w:type="dxa"/>
            </w:tcMar>
            <w:vAlign w:val="center"/>
          </w:tcPr>
          <w:p w:rsidR="007A6BC0" w:rsidRDefault="002E249B">
            <w:pPr>
              <w:keepNext/>
              <w:keepLines/>
              <w:spacing w:after="0" w:line="240" w:lineRule="auto"/>
              <w:jc w:val="right"/>
            </w:pPr>
            <w:r>
              <w:rPr>
                <w:sz w:val="18"/>
              </w:rPr>
              <w:t>3.248.827,32</w:t>
            </w:r>
          </w:p>
        </w:tc>
        <w:tc>
          <w:tcPr>
            <w:tcW w:w="700" w:type="dxa"/>
            <w:tcMar>
              <w:top w:w="0" w:type="dxa"/>
              <w:bottom w:w="0" w:type="dxa"/>
            </w:tcMar>
            <w:vAlign w:val="center"/>
          </w:tcPr>
          <w:p w:rsidR="007A6BC0" w:rsidRDefault="002E249B">
            <w:pPr>
              <w:keepNext/>
              <w:keepLines/>
              <w:spacing w:after="0" w:line="240" w:lineRule="auto"/>
              <w:jc w:val="right"/>
            </w:pPr>
            <w:r>
              <w:rPr>
                <w:sz w:val="18"/>
              </w:rPr>
              <w:t>&gt;&gt;100</w:t>
            </w:r>
          </w:p>
        </w:tc>
      </w:tr>
    </w:tbl>
    <w:p w:rsidR="007A6BC0" w:rsidRDefault="007A6BC0">
      <w:pPr>
        <w:spacing w:after="0"/>
      </w:pPr>
    </w:p>
    <w:p w:rsidR="007A6BC0" w:rsidRDefault="002E249B">
      <w:pPr>
        <w:spacing w:line="240" w:lineRule="auto"/>
        <w:jc w:val="both"/>
      </w:pPr>
      <w:r>
        <w:t xml:space="preserve">Evidentirani troškovi bilježe povećanje za 51.881,23% ili za 3.242.577,32 eura u odnosu na </w:t>
      </w:r>
      <w:r>
        <w:t>isto razdoblje prethodne godine. U poslovnoj 2025. godini evidentirani su troškovi po projektu „Unapređenje kvalitete smještaja i sadržaja hotela Minerva“. U istom razdoblju prethodne godine izvršenje u ovoj skupini rashoda iznosilo je 6.250,00 eura, a odn</w:t>
      </w:r>
      <w:r>
        <w:t xml:space="preserve">osilo se je na izvršena ulaganja u cjevovod i dizalice topline za objekt Terme i Minerva te je postavljen </w:t>
      </w:r>
      <w:proofErr w:type="spellStart"/>
      <w:r>
        <w:t>videonadzor</w:t>
      </w:r>
      <w:proofErr w:type="spellEnd"/>
      <w:r>
        <w:t xml:space="preserve"> na Nacionalno rehabilitacijskom centru za osobe s bolestima i oštećenjima </w:t>
      </w:r>
      <w:proofErr w:type="spellStart"/>
      <w:r>
        <w:t>kralježnične</w:t>
      </w:r>
      <w:proofErr w:type="spellEnd"/>
      <w:r>
        <w:t xml:space="preserve"> moždine.</w:t>
      </w:r>
    </w:p>
    <w:p w:rsidR="007A6BC0" w:rsidRDefault="007A6BC0"/>
    <w:p w:rsidR="007A6BC0" w:rsidRDefault="002E249B">
      <w:pPr>
        <w:keepNext/>
        <w:spacing w:line="240" w:lineRule="auto"/>
        <w:jc w:val="center"/>
      </w:pPr>
      <w:r>
        <w:rPr>
          <w:sz w:val="28"/>
        </w:rPr>
        <w:t>Bilješka 41.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w:t>
            </w:r>
            <w:r>
              <w:rPr>
                <w:b/>
                <w:sz w:val="18"/>
              </w:rPr>
              <w:t>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542</w:t>
            </w:r>
          </w:p>
        </w:tc>
        <w:tc>
          <w:tcPr>
            <w:tcW w:w="3180" w:type="dxa"/>
            <w:tcMar>
              <w:top w:w="0" w:type="dxa"/>
              <w:bottom w:w="0" w:type="dxa"/>
            </w:tcMar>
            <w:vAlign w:val="center"/>
          </w:tcPr>
          <w:p w:rsidR="007A6BC0" w:rsidRDefault="002E249B">
            <w:pPr>
              <w:keepNext/>
              <w:keepLines/>
              <w:spacing w:after="0" w:line="240" w:lineRule="auto"/>
            </w:pPr>
            <w:r>
              <w:rPr>
                <w:sz w:val="18"/>
              </w:rPr>
              <w:t xml:space="preserve">Otplata glavnice primljenih kredita i zajmova od kreditnih i ostalih financijskih institucija u javnom sektoru (šifre 5422 do </w:t>
            </w:r>
            <w:r>
              <w:rPr>
                <w:sz w:val="18"/>
              </w:rPr>
              <w:t>5424)</w:t>
            </w:r>
          </w:p>
        </w:tc>
        <w:tc>
          <w:tcPr>
            <w:tcW w:w="700" w:type="dxa"/>
            <w:tcMar>
              <w:top w:w="0" w:type="dxa"/>
              <w:bottom w:w="0" w:type="dxa"/>
            </w:tcMar>
            <w:vAlign w:val="center"/>
          </w:tcPr>
          <w:p w:rsidR="007A6BC0" w:rsidRDefault="002E249B">
            <w:pPr>
              <w:keepNext/>
              <w:keepLines/>
              <w:spacing w:after="0" w:line="240" w:lineRule="auto"/>
            </w:pPr>
            <w:r>
              <w:rPr>
                <w:sz w:val="18"/>
              </w:rPr>
              <w:t>542</w:t>
            </w:r>
          </w:p>
        </w:tc>
        <w:tc>
          <w:tcPr>
            <w:tcW w:w="1860" w:type="dxa"/>
            <w:tcMar>
              <w:top w:w="0" w:type="dxa"/>
              <w:bottom w:w="0" w:type="dxa"/>
            </w:tcMar>
            <w:vAlign w:val="center"/>
          </w:tcPr>
          <w:p w:rsidR="007A6BC0" w:rsidRDefault="002E249B">
            <w:pPr>
              <w:keepNext/>
              <w:keepLines/>
              <w:spacing w:after="0" w:line="240" w:lineRule="auto"/>
              <w:jc w:val="right"/>
            </w:pPr>
            <w:r>
              <w:rPr>
                <w:sz w:val="18"/>
              </w:rPr>
              <w:t>237.782,24</w:t>
            </w:r>
          </w:p>
        </w:tc>
        <w:tc>
          <w:tcPr>
            <w:tcW w:w="1860" w:type="dxa"/>
            <w:tcMar>
              <w:top w:w="0" w:type="dxa"/>
              <w:bottom w:w="0" w:type="dxa"/>
            </w:tcMar>
            <w:vAlign w:val="center"/>
          </w:tcPr>
          <w:p w:rsidR="007A6BC0" w:rsidRDefault="002E249B">
            <w:pPr>
              <w:keepNext/>
              <w:keepLines/>
              <w:spacing w:after="0" w:line="240" w:lineRule="auto"/>
              <w:jc w:val="right"/>
            </w:pPr>
            <w:r>
              <w:rPr>
                <w:sz w:val="18"/>
              </w:rPr>
              <w:t>237.782,24</w:t>
            </w:r>
          </w:p>
        </w:tc>
        <w:tc>
          <w:tcPr>
            <w:tcW w:w="700" w:type="dxa"/>
            <w:tcMar>
              <w:top w:w="0" w:type="dxa"/>
              <w:bottom w:w="0" w:type="dxa"/>
            </w:tcMar>
            <w:vAlign w:val="center"/>
          </w:tcPr>
          <w:p w:rsidR="007A6BC0" w:rsidRDefault="002E249B">
            <w:pPr>
              <w:keepNext/>
              <w:keepLines/>
              <w:spacing w:after="0" w:line="240" w:lineRule="auto"/>
              <w:jc w:val="right"/>
            </w:pPr>
            <w:r>
              <w:rPr>
                <w:sz w:val="18"/>
              </w:rPr>
              <w:t>100</w:t>
            </w:r>
          </w:p>
        </w:tc>
      </w:tr>
    </w:tbl>
    <w:p w:rsidR="007A6BC0" w:rsidRDefault="007A6BC0">
      <w:pPr>
        <w:spacing w:after="0"/>
      </w:pPr>
    </w:p>
    <w:p w:rsidR="007A6BC0" w:rsidRDefault="002E249B">
      <w:pPr>
        <w:spacing w:line="240" w:lineRule="auto"/>
        <w:jc w:val="both"/>
      </w:pPr>
      <w:r>
        <w:t>Na otplatu glavnice prema HBOR-u evidentiran je iznos od 237.782,24 eura kao i prethodne godine.</w:t>
      </w:r>
    </w:p>
    <w:p w:rsidR="007A6BC0" w:rsidRDefault="007A6BC0"/>
    <w:p w:rsidR="007A6BC0" w:rsidRDefault="002E249B">
      <w:pPr>
        <w:keepNext/>
        <w:spacing w:line="240" w:lineRule="auto"/>
        <w:jc w:val="center"/>
      </w:pPr>
      <w:r>
        <w:rPr>
          <w:sz w:val="28"/>
        </w:rPr>
        <w:t>Bilješka 42.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Ostvareno u </w:t>
            </w:r>
            <w:r>
              <w:rPr>
                <w:b/>
                <w:sz w:val="18"/>
              </w:rPr>
              <w:t>izvještajnom razdoblju tekuće godine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2E249B">
            <w:pPr>
              <w:keepNext/>
              <w:keepLines/>
              <w:spacing w:after="0" w:line="240" w:lineRule="auto"/>
            </w:pPr>
            <w:r>
              <w:rPr>
                <w:sz w:val="18"/>
              </w:rPr>
              <w:t>544</w:t>
            </w:r>
          </w:p>
        </w:tc>
        <w:tc>
          <w:tcPr>
            <w:tcW w:w="3180" w:type="dxa"/>
            <w:tcMar>
              <w:top w:w="0" w:type="dxa"/>
              <w:bottom w:w="0" w:type="dxa"/>
            </w:tcMar>
            <w:vAlign w:val="center"/>
          </w:tcPr>
          <w:p w:rsidR="007A6BC0" w:rsidRDefault="002E249B">
            <w:pPr>
              <w:keepNext/>
              <w:keepLines/>
              <w:spacing w:after="0" w:line="240" w:lineRule="auto"/>
            </w:pPr>
            <w:r>
              <w:rPr>
                <w:sz w:val="18"/>
              </w:rPr>
              <w:t>Otplata glavnice primljenih kredita i zajmova od kreditnih i ostalih financijskih institucija izvan javnog sektora (šifre 5443 do 5448)</w:t>
            </w:r>
          </w:p>
        </w:tc>
        <w:tc>
          <w:tcPr>
            <w:tcW w:w="700" w:type="dxa"/>
            <w:tcMar>
              <w:top w:w="0" w:type="dxa"/>
              <w:bottom w:w="0" w:type="dxa"/>
            </w:tcMar>
            <w:vAlign w:val="center"/>
          </w:tcPr>
          <w:p w:rsidR="007A6BC0" w:rsidRDefault="002E249B">
            <w:pPr>
              <w:keepNext/>
              <w:keepLines/>
              <w:spacing w:after="0" w:line="240" w:lineRule="auto"/>
            </w:pPr>
            <w:r>
              <w:rPr>
                <w:sz w:val="18"/>
              </w:rPr>
              <w:t>544</w:t>
            </w:r>
          </w:p>
        </w:tc>
        <w:tc>
          <w:tcPr>
            <w:tcW w:w="1860" w:type="dxa"/>
            <w:tcMar>
              <w:top w:w="0" w:type="dxa"/>
              <w:bottom w:w="0" w:type="dxa"/>
            </w:tcMar>
            <w:vAlign w:val="center"/>
          </w:tcPr>
          <w:p w:rsidR="007A6BC0" w:rsidRDefault="002E249B">
            <w:pPr>
              <w:keepNext/>
              <w:keepLines/>
              <w:spacing w:after="0" w:line="240" w:lineRule="auto"/>
              <w:jc w:val="right"/>
            </w:pPr>
            <w:r>
              <w:rPr>
                <w:sz w:val="18"/>
              </w:rPr>
              <w:t>486.808,58</w:t>
            </w:r>
          </w:p>
        </w:tc>
        <w:tc>
          <w:tcPr>
            <w:tcW w:w="1860" w:type="dxa"/>
            <w:tcMar>
              <w:top w:w="0" w:type="dxa"/>
              <w:bottom w:w="0" w:type="dxa"/>
            </w:tcMar>
            <w:vAlign w:val="center"/>
          </w:tcPr>
          <w:p w:rsidR="007A6BC0" w:rsidRDefault="002E249B">
            <w:pPr>
              <w:keepNext/>
              <w:keepLines/>
              <w:spacing w:after="0" w:line="240" w:lineRule="auto"/>
              <w:jc w:val="right"/>
            </w:pPr>
            <w:r>
              <w:rPr>
                <w:sz w:val="18"/>
              </w:rPr>
              <w:t>371.332,82</w:t>
            </w:r>
          </w:p>
        </w:tc>
        <w:tc>
          <w:tcPr>
            <w:tcW w:w="700" w:type="dxa"/>
            <w:tcMar>
              <w:top w:w="0" w:type="dxa"/>
              <w:bottom w:w="0" w:type="dxa"/>
            </w:tcMar>
            <w:vAlign w:val="center"/>
          </w:tcPr>
          <w:p w:rsidR="007A6BC0" w:rsidRDefault="002E249B">
            <w:pPr>
              <w:keepNext/>
              <w:keepLines/>
              <w:spacing w:after="0" w:line="240" w:lineRule="auto"/>
              <w:jc w:val="right"/>
            </w:pPr>
            <w:r>
              <w:rPr>
                <w:sz w:val="18"/>
              </w:rPr>
              <w:t>76,3</w:t>
            </w:r>
          </w:p>
        </w:tc>
      </w:tr>
    </w:tbl>
    <w:p w:rsidR="007A6BC0" w:rsidRDefault="007A6BC0">
      <w:pPr>
        <w:spacing w:after="0"/>
      </w:pPr>
    </w:p>
    <w:p w:rsidR="007A6BC0" w:rsidRDefault="002E249B">
      <w:pPr>
        <w:spacing w:line="240" w:lineRule="auto"/>
        <w:jc w:val="both"/>
      </w:pPr>
      <w:r>
        <w:t xml:space="preserve">Na otplatu glavnice po dugoročnom </w:t>
      </w:r>
      <w:r>
        <w:t xml:space="preserve">kreditu za energetsku obnovu bolničkih zgrada prema poslovnoj Zagrebačkoj banci evidentiran je iznos od 153.141,70 eura, dok je za otplatu kratkoročnog kredita </w:t>
      </w:r>
      <w:proofErr w:type="spellStart"/>
      <w:r>
        <w:t>cash</w:t>
      </w:r>
      <w:proofErr w:type="spellEnd"/>
      <w:r>
        <w:t xml:space="preserve"> </w:t>
      </w:r>
      <w:proofErr w:type="spellStart"/>
      <w:r>
        <w:t>poola</w:t>
      </w:r>
      <w:proofErr w:type="spellEnd"/>
      <w:r>
        <w:t xml:space="preserve"> evidentiran iznos od 218.191,12 eura (prethodne godine isti su iznosili 333.666,88 eu</w:t>
      </w:r>
      <w:r>
        <w:t>ra).</w:t>
      </w:r>
    </w:p>
    <w:p w:rsidR="007A6BC0" w:rsidRDefault="007A6BC0"/>
    <w:p w:rsidR="007A6BC0" w:rsidRDefault="002E249B">
      <w:pPr>
        <w:keepNext/>
        <w:spacing w:line="240" w:lineRule="auto"/>
        <w:jc w:val="center"/>
      </w:pPr>
      <w:r>
        <w:rPr>
          <w:b/>
          <w:sz w:val="28"/>
        </w:rPr>
        <w:lastRenderedPageBreak/>
        <w:t>Izvještaj o obvezama</w:t>
      </w:r>
    </w:p>
    <w:p w:rsidR="007A6BC0" w:rsidRDefault="002E249B">
      <w:pPr>
        <w:keepNext/>
        <w:spacing w:line="240" w:lineRule="auto"/>
        <w:jc w:val="center"/>
      </w:pPr>
      <w:r>
        <w:rPr>
          <w:sz w:val="28"/>
        </w:rPr>
        <w:t>Bilješka 43.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7A6BC0">
            <w:pPr>
              <w:keepNext/>
              <w:keepLines/>
              <w:spacing w:after="0" w:line="240" w:lineRule="auto"/>
            </w:pPr>
          </w:p>
        </w:tc>
        <w:tc>
          <w:tcPr>
            <w:tcW w:w="3180" w:type="dxa"/>
            <w:tcMar>
              <w:top w:w="0" w:type="dxa"/>
              <w:bottom w:w="0" w:type="dxa"/>
            </w:tcMar>
            <w:vAlign w:val="center"/>
          </w:tcPr>
          <w:p w:rsidR="007A6BC0" w:rsidRDefault="002E249B">
            <w:pPr>
              <w:keepNext/>
              <w:keepLines/>
              <w:spacing w:after="0" w:line="240" w:lineRule="auto"/>
            </w:pPr>
            <w:r>
              <w:rPr>
                <w:sz w:val="18"/>
              </w:rPr>
              <w:t>Povećanje obveza u izvještajnom razdoblju (šifre V003+N23+N24 + 'N dio 25,26'+N27)</w:t>
            </w:r>
          </w:p>
        </w:tc>
        <w:tc>
          <w:tcPr>
            <w:tcW w:w="700" w:type="dxa"/>
            <w:tcMar>
              <w:top w:w="0" w:type="dxa"/>
              <w:bottom w:w="0" w:type="dxa"/>
            </w:tcMar>
            <w:vAlign w:val="center"/>
          </w:tcPr>
          <w:p w:rsidR="007A6BC0" w:rsidRDefault="002E249B">
            <w:pPr>
              <w:keepNext/>
              <w:keepLines/>
              <w:spacing w:after="0" w:line="240" w:lineRule="auto"/>
            </w:pPr>
            <w:r>
              <w:rPr>
                <w:sz w:val="18"/>
              </w:rPr>
              <w:t>V002</w:t>
            </w:r>
          </w:p>
        </w:tc>
        <w:tc>
          <w:tcPr>
            <w:tcW w:w="1860" w:type="dxa"/>
            <w:tcMar>
              <w:top w:w="0" w:type="dxa"/>
              <w:bottom w:w="0" w:type="dxa"/>
            </w:tcMar>
            <w:vAlign w:val="center"/>
          </w:tcPr>
          <w:p w:rsidR="007A6BC0" w:rsidRDefault="002E249B">
            <w:pPr>
              <w:keepNext/>
              <w:keepLines/>
              <w:spacing w:after="0" w:line="240" w:lineRule="auto"/>
              <w:jc w:val="right"/>
            </w:pPr>
            <w:r>
              <w:rPr>
                <w:sz w:val="18"/>
              </w:rPr>
              <w:t>21.831.821,18</w:t>
            </w:r>
          </w:p>
        </w:tc>
        <w:tc>
          <w:tcPr>
            <w:tcW w:w="700" w:type="dxa"/>
            <w:tcMar>
              <w:top w:w="0" w:type="dxa"/>
              <w:bottom w:w="0" w:type="dxa"/>
            </w:tcMar>
            <w:vAlign w:val="center"/>
          </w:tcPr>
          <w:p w:rsidR="007A6BC0" w:rsidRDefault="002E249B">
            <w:pPr>
              <w:keepNext/>
              <w:keepLines/>
              <w:spacing w:after="0" w:line="240" w:lineRule="auto"/>
              <w:jc w:val="right"/>
            </w:pPr>
            <w:r>
              <w:rPr>
                <w:sz w:val="18"/>
              </w:rPr>
              <w:t>-</w:t>
            </w:r>
          </w:p>
        </w:tc>
      </w:tr>
    </w:tbl>
    <w:p w:rsidR="007A6BC0" w:rsidRDefault="007A6BC0">
      <w:pPr>
        <w:spacing w:after="0"/>
      </w:pPr>
    </w:p>
    <w:p w:rsidR="007A6BC0" w:rsidRDefault="002E249B">
      <w:pPr>
        <w:spacing w:line="240" w:lineRule="auto"/>
        <w:jc w:val="both"/>
      </w:pPr>
      <w:r>
        <w:t xml:space="preserve">Ukupno povećanje obveza u izvještajnom razdoblju </w:t>
      </w:r>
      <w:r>
        <w:t xml:space="preserve">iznosi 21.831.821,18 eura, a odnosi se na povećanje obveze prema HZZO-u za manje izvršen rad u iznosu 1.435.023,68 eura, prema poslovnoj Zagrebačkoj banci za korištenje kratkoročnog Cash </w:t>
      </w:r>
      <w:proofErr w:type="spellStart"/>
      <w:r>
        <w:t>pool</w:t>
      </w:r>
      <w:proofErr w:type="spellEnd"/>
      <w:r>
        <w:t xml:space="preserve"> kredita u iznosu 483.726,16 eura </w:t>
      </w:r>
      <w:proofErr w:type="spellStart"/>
      <w:r>
        <w:t>eura</w:t>
      </w:r>
      <w:proofErr w:type="spellEnd"/>
      <w:r>
        <w:t>, obveze za EU predujmove z</w:t>
      </w:r>
      <w:r>
        <w:t>a projekt Unapređenje kvalitete smještaja i sadržaja hotele Minerva u iznosu 3.303.631,59 eura, prema zaposlenima u iznosu 9.243.568,02 eura, na obveze za porez na dodanu vrijednost 1.686.117,34 eura, na obveze prema izvođačima radova na projektu Unapređen</w:t>
      </w:r>
      <w:r>
        <w:t>je kvalitete smještaja i sadržaja hotela Minerva u iznosu 2.610.154,37 eura, te obveze prema ostalim dobavljačima za materijalne rashode, energiju i ostalo u iznosu 3.069.600,02 eura.</w:t>
      </w:r>
    </w:p>
    <w:p w:rsidR="007A6BC0" w:rsidRDefault="007A6BC0"/>
    <w:p w:rsidR="007A6BC0" w:rsidRDefault="002E249B">
      <w:pPr>
        <w:keepNext/>
        <w:spacing w:line="240" w:lineRule="auto"/>
        <w:jc w:val="center"/>
      </w:pPr>
      <w:r>
        <w:rPr>
          <w:sz w:val="28"/>
        </w:rPr>
        <w:t>Bilješka 44.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7A6BC0">
            <w:pPr>
              <w:keepNext/>
              <w:keepLines/>
              <w:spacing w:after="0" w:line="240" w:lineRule="auto"/>
            </w:pPr>
          </w:p>
        </w:tc>
        <w:tc>
          <w:tcPr>
            <w:tcW w:w="3180" w:type="dxa"/>
            <w:tcMar>
              <w:top w:w="0" w:type="dxa"/>
              <w:bottom w:w="0" w:type="dxa"/>
            </w:tcMar>
            <w:vAlign w:val="center"/>
          </w:tcPr>
          <w:p w:rsidR="007A6BC0" w:rsidRDefault="002E249B">
            <w:pPr>
              <w:keepNext/>
              <w:keepLines/>
              <w:spacing w:after="0" w:line="240" w:lineRule="auto"/>
            </w:pPr>
            <w:r>
              <w:rPr>
                <w:sz w:val="18"/>
              </w:rPr>
              <w:t>Međusobne obveze subjekata općeg proračuna</w:t>
            </w:r>
          </w:p>
        </w:tc>
        <w:tc>
          <w:tcPr>
            <w:tcW w:w="700" w:type="dxa"/>
            <w:tcMar>
              <w:top w:w="0" w:type="dxa"/>
              <w:bottom w:w="0" w:type="dxa"/>
            </w:tcMar>
            <w:vAlign w:val="center"/>
          </w:tcPr>
          <w:p w:rsidR="007A6BC0" w:rsidRDefault="002E249B">
            <w:pPr>
              <w:keepNext/>
              <w:keepLines/>
              <w:spacing w:after="0" w:line="240" w:lineRule="auto"/>
            </w:pPr>
            <w:r>
              <w:rPr>
                <w:sz w:val="18"/>
              </w:rPr>
              <w:t>V003</w:t>
            </w:r>
          </w:p>
        </w:tc>
        <w:tc>
          <w:tcPr>
            <w:tcW w:w="1860" w:type="dxa"/>
            <w:tcMar>
              <w:top w:w="0" w:type="dxa"/>
              <w:bottom w:w="0" w:type="dxa"/>
            </w:tcMar>
            <w:vAlign w:val="center"/>
          </w:tcPr>
          <w:p w:rsidR="007A6BC0" w:rsidRDefault="002E249B">
            <w:pPr>
              <w:keepNext/>
              <w:keepLines/>
              <w:spacing w:after="0" w:line="240" w:lineRule="auto"/>
              <w:jc w:val="right"/>
            </w:pPr>
            <w:r>
              <w:rPr>
                <w:sz w:val="18"/>
              </w:rPr>
              <w:t>17.460,65</w:t>
            </w:r>
          </w:p>
        </w:tc>
        <w:tc>
          <w:tcPr>
            <w:tcW w:w="700" w:type="dxa"/>
            <w:tcMar>
              <w:top w:w="0" w:type="dxa"/>
              <w:bottom w:w="0" w:type="dxa"/>
            </w:tcMar>
            <w:vAlign w:val="center"/>
          </w:tcPr>
          <w:p w:rsidR="007A6BC0" w:rsidRDefault="002E249B">
            <w:pPr>
              <w:keepNext/>
              <w:keepLines/>
              <w:spacing w:after="0" w:line="240" w:lineRule="auto"/>
              <w:jc w:val="right"/>
            </w:pPr>
            <w:r>
              <w:rPr>
                <w:sz w:val="18"/>
              </w:rPr>
              <w:t>-</w:t>
            </w:r>
          </w:p>
        </w:tc>
      </w:tr>
    </w:tbl>
    <w:p w:rsidR="007A6BC0" w:rsidRDefault="007A6BC0">
      <w:pPr>
        <w:spacing w:after="0"/>
      </w:pPr>
    </w:p>
    <w:p w:rsidR="007A6BC0" w:rsidRDefault="002E249B">
      <w:pPr>
        <w:spacing w:line="240" w:lineRule="auto"/>
        <w:jc w:val="both"/>
      </w:pPr>
      <w:r>
        <w:t>Iznose 17.460,65 eura, a odnose se na zdravstvene i veterinarske usluge.</w:t>
      </w:r>
    </w:p>
    <w:p w:rsidR="007A6BC0" w:rsidRDefault="007A6BC0"/>
    <w:p w:rsidR="007A6BC0" w:rsidRDefault="002E249B">
      <w:pPr>
        <w:keepNext/>
        <w:spacing w:line="240" w:lineRule="auto"/>
        <w:jc w:val="center"/>
      </w:pPr>
      <w:r>
        <w:rPr>
          <w:sz w:val="28"/>
        </w:rPr>
        <w:t>Bilješka 45.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7A6BC0">
            <w:pPr>
              <w:keepNext/>
              <w:keepLines/>
              <w:spacing w:after="0" w:line="240" w:lineRule="auto"/>
            </w:pPr>
          </w:p>
        </w:tc>
        <w:tc>
          <w:tcPr>
            <w:tcW w:w="3180" w:type="dxa"/>
            <w:tcMar>
              <w:top w:w="0" w:type="dxa"/>
              <w:bottom w:w="0" w:type="dxa"/>
            </w:tcMar>
            <w:vAlign w:val="center"/>
          </w:tcPr>
          <w:p w:rsidR="007A6BC0" w:rsidRDefault="002E249B">
            <w:pPr>
              <w:keepNext/>
              <w:keepLines/>
              <w:spacing w:after="0" w:line="240" w:lineRule="auto"/>
            </w:pPr>
            <w:r>
              <w:rPr>
                <w:sz w:val="18"/>
              </w:rPr>
              <w:t xml:space="preserve">Stanje dospjelih obveza na kraju izvještajnog </w:t>
            </w:r>
            <w:r>
              <w:rPr>
                <w:sz w:val="18"/>
              </w:rPr>
              <w:t>razdoblja (šifre V008+D23+D24 + 'D dio 25,26' + D27)</w:t>
            </w:r>
          </w:p>
        </w:tc>
        <w:tc>
          <w:tcPr>
            <w:tcW w:w="700" w:type="dxa"/>
            <w:tcMar>
              <w:top w:w="0" w:type="dxa"/>
              <w:bottom w:w="0" w:type="dxa"/>
            </w:tcMar>
            <w:vAlign w:val="center"/>
          </w:tcPr>
          <w:p w:rsidR="007A6BC0" w:rsidRDefault="002E249B">
            <w:pPr>
              <w:keepNext/>
              <w:keepLines/>
              <w:spacing w:after="0" w:line="240" w:lineRule="auto"/>
            </w:pPr>
            <w:r>
              <w:rPr>
                <w:sz w:val="18"/>
              </w:rPr>
              <w:t>V007</w:t>
            </w:r>
          </w:p>
        </w:tc>
        <w:tc>
          <w:tcPr>
            <w:tcW w:w="1860" w:type="dxa"/>
            <w:tcMar>
              <w:top w:w="0" w:type="dxa"/>
              <w:bottom w:w="0" w:type="dxa"/>
            </w:tcMar>
            <w:vAlign w:val="center"/>
          </w:tcPr>
          <w:p w:rsidR="007A6BC0" w:rsidRDefault="002E249B">
            <w:pPr>
              <w:keepNext/>
              <w:keepLines/>
              <w:spacing w:after="0" w:line="240" w:lineRule="auto"/>
              <w:jc w:val="right"/>
            </w:pPr>
            <w:r>
              <w:rPr>
                <w:sz w:val="18"/>
              </w:rPr>
              <w:t>647.744,89</w:t>
            </w:r>
          </w:p>
        </w:tc>
        <w:tc>
          <w:tcPr>
            <w:tcW w:w="700" w:type="dxa"/>
            <w:tcMar>
              <w:top w:w="0" w:type="dxa"/>
              <w:bottom w:w="0" w:type="dxa"/>
            </w:tcMar>
            <w:vAlign w:val="center"/>
          </w:tcPr>
          <w:p w:rsidR="007A6BC0" w:rsidRDefault="002E249B">
            <w:pPr>
              <w:keepNext/>
              <w:keepLines/>
              <w:spacing w:after="0" w:line="240" w:lineRule="auto"/>
              <w:jc w:val="right"/>
            </w:pPr>
            <w:r>
              <w:rPr>
                <w:sz w:val="18"/>
              </w:rPr>
              <w:t>-</w:t>
            </w:r>
          </w:p>
        </w:tc>
      </w:tr>
    </w:tbl>
    <w:p w:rsidR="007A6BC0" w:rsidRDefault="007A6BC0">
      <w:pPr>
        <w:spacing w:after="0"/>
      </w:pPr>
    </w:p>
    <w:p w:rsidR="00ED0F24" w:rsidRDefault="002E249B" w:rsidP="00ED0F24">
      <w:pPr>
        <w:spacing w:after="0" w:line="240" w:lineRule="auto"/>
        <w:jc w:val="both"/>
      </w:pPr>
      <w:r>
        <w:t xml:space="preserve">Ukupne obveze na kraju izvještajnog razdoblja evidentirane su u iznosu 24.424.408,71 eura, od čega dospjele obveze iznose 647.744,89 eura, a odnose se na: </w:t>
      </w:r>
    </w:p>
    <w:p w:rsidR="00ED0F24" w:rsidRDefault="002E249B" w:rsidP="00ED0F24">
      <w:pPr>
        <w:spacing w:after="0" w:line="240" w:lineRule="auto"/>
        <w:jc w:val="both"/>
      </w:pPr>
      <w:r>
        <w:t xml:space="preserve">- Za međusobne obveze </w:t>
      </w:r>
      <w:r>
        <w:t xml:space="preserve">subjekata općeg proračuna 6.274,77 kuna (usluge mikrobiologije za bolničke pacijente, sistematske preglede), </w:t>
      </w:r>
    </w:p>
    <w:p w:rsidR="00ED0F24" w:rsidRDefault="002E249B" w:rsidP="00ED0F24">
      <w:pPr>
        <w:spacing w:after="0" w:line="240" w:lineRule="auto"/>
        <w:jc w:val="both"/>
      </w:pPr>
      <w:r>
        <w:t xml:space="preserve">- Za materijalne rashode u iznosu 604.997,22 eura za podmirenje obveza (živežne namirnice, energija, razne usluge), </w:t>
      </w:r>
    </w:p>
    <w:p w:rsidR="00ED0F24" w:rsidRDefault="002E249B" w:rsidP="00ED0F24">
      <w:pPr>
        <w:spacing w:after="0" w:line="240" w:lineRule="auto"/>
        <w:jc w:val="both"/>
      </w:pPr>
      <w:r>
        <w:t>- Za obveze na nefinancijskoj i</w:t>
      </w:r>
      <w:r>
        <w:t xml:space="preserve">movini (razna oprema za </w:t>
      </w:r>
      <w:proofErr w:type="spellStart"/>
      <w:r>
        <w:t>zanavljanje</w:t>
      </w:r>
      <w:proofErr w:type="spellEnd"/>
      <w:r>
        <w:t xml:space="preserve"> dotrajale opreme) u iznosu 36.472,90 eura. </w:t>
      </w:r>
    </w:p>
    <w:p w:rsidR="007A6BC0" w:rsidRDefault="002E249B" w:rsidP="00ED0F24">
      <w:pPr>
        <w:spacing w:after="0" w:line="240" w:lineRule="auto"/>
        <w:jc w:val="both"/>
      </w:pPr>
      <w:r>
        <w:t>Zbog zatvaranja objekta Minerva s 28. veljače 2025. godine izgubili smo veliki dio tržišnog prihoda, što je uvelike utjecalo na podmirenje dospjelih obveza prema dobavljačima. U</w:t>
      </w:r>
      <w:r>
        <w:t xml:space="preserve">kupni mjesečni prihod u vrijeme rada objekta Minerva kretao se je u iznosima od 600.000,00 -  700.000,00 eura mjesečno. Da je taj prihod </w:t>
      </w:r>
      <w:proofErr w:type="spellStart"/>
      <w:r>
        <w:t>oprihodovan</w:t>
      </w:r>
      <w:proofErr w:type="spellEnd"/>
      <w:r>
        <w:t>, bolnica u svojim evidencijama ne bi imala dospjelih obveza.</w:t>
      </w:r>
    </w:p>
    <w:p w:rsidR="007A6BC0" w:rsidRDefault="007A6BC0"/>
    <w:p w:rsidR="007A6BC0" w:rsidRDefault="002E249B">
      <w:pPr>
        <w:keepNext/>
        <w:spacing w:line="240" w:lineRule="auto"/>
        <w:jc w:val="center"/>
      </w:pPr>
      <w:r>
        <w:rPr>
          <w:sz w:val="28"/>
        </w:rPr>
        <w:lastRenderedPageBreak/>
        <w:t>Bilješka 46.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A6BC0">
        <w:tblPrEx>
          <w:tblCellMar>
            <w:top w:w="0" w:type="dxa"/>
            <w:bottom w:w="0" w:type="dxa"/>
          </w:tblCellMar>
        </w:tblPrEx>
        <w:trPr>
          <w:cantSplit/>
        </w:trPr>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7A6BC0" w:rsidRDefault="002E249B">
            <w:pPr>
              <w:keepNext/>
              <w:keepLines/>
              <w:spacing w:after="0" w:line="240" w:lineRule="auto"/>
              <w:jc w:val="center"/>
            </w:pPr>
            <w:r>
              <w:rPr>
                <w:b/>
                <w:sz w:val="18"/>
              </w:rPr>
              <w:t>Indeks (%)</w:t>
            </w:r>
          </w:p>
        </w:tc>
      </w:tr>
      <w:tr w:rsidR="007A6BC0">
        <w:tblPrEx>
          <w:tblCellMar>
            <w:top w:w="0" w:type="dxa"/>
            <w:bottom w:w="0" w:type="dxa"/>
          </w:tblCellMar>
        </w:tblPrEx>
        <w:trPr>
          <w:cantSplit/>
          <w:trHeight w:val="560"/>
        </w:trPr>
        <w:tc>
          <w:tcPr>
            <w:tcW w:w="700" w:type="dxa"/>
            <w:tcMar>
              <w:top w:w="0" w:type="dxa"/>
              <w:bottom w:w="0" w:type="dxa"/>
            </w:tcMar>
            <w:vAlign w:val="center"/>
          </w:tcPr>
          <w:p w:rsidR="007A6BC0" w:rsidRDefault="007A6BC0">
            <w:pPr>
              <w:keepNext/>
              <w:keepLines/>
              <w:spacing w:after="0" w:line="240" w:lineRule="auto"/>
            </w:pPr>
          </w:p>
        </w:tc>
        <w:tc>
          <w:tcPr>
            <w:tcW w:w="3180" w:type="dxa"/>
            <w:tcMar>
              <w:top w:w="0" w:type="dxa"/>
              <w:bottom w:w="0" w:type="dxa"/>
            </w:tcMar>
            <w:vAlign w:val="center"/>
          </w:tcPr>
          <w:p w:rsidR="007A6BC0" w:rsidRDefault="002E249B">
            <w:pPr>
              <w:keepNext/>
              <w:keepLines/>
              <w:spacing w:after="0" w:line="240" w:lineRule="auto"/>
            </w:pPr>
            <w:r>
              <w:rPr>
                <w:sz w:val="18"/>
              </w:rPr>
              <w:t>Stanje nedospjelih obveza na kraju izvještajnog razdoblja (šifre V010 + ND23 + ND24 + 'ND dio 25,26' + ND27)</w:t>
            </w:r>
          </w:p>
        </w:tc>
        <w:tc>
          <w:tcPr>
            <w:tcW w:w="700" w:type="dxa"/>
            <w:tcMar>
              <w:top w:w="0" w:type="dxa"/>
              <w:bottom w:w="0" w:type="dxa"/>
            </w:tcMar>
            <w:vAlign w:val="center"/>
          </w:tcPr>
          <w:p w:rsidR="007A6BC0" w:rsidRDefault="002E249B">
            <w:pPr>
              <w:keepNext/>
              <w:keepLines/>
              <w:spacing w:after="0" w:line="240" w:lineRule="auto"/>
            </w:pPr>
            <w:r>
              <w:rPr>
                <w:sz w:val="18"/>
              </w:rPr>
              <w:t>V009</w:t>
            </w:r>
          </w:p>
        </w:tc>
        <w:tc>
          <w:tcPr>
            <w:tcW w:w="1860" w:type="dxa"/>
            <w:tcMar>
              <w:top w:w="0" w:type="dxa"/>
              <w:bottom w:w="0" w:type="dxa"/>
            </w:tcMar>
            <w:vAlign w:val="center"/>
          </w:tcPr>
          <w:p w:rsidR="007A6BC0" w:rsidRDefault="002E249B">
            <w:pPr>
              <w:keepNext/>
              <w:keepLines/>
              <w:spacing w:after="0" w:line="240" w:lineRule="auto"/>
              <w:jc w:val="right"/>
            </w:pPr>
            <w:r>
              <w:rPr>
                <w:sz w:val="18"/>
              </w:rPr>
              <w:t>23.776.663,82</w:t>
            </w:r>
          </w:p>
        </w:tc>
        <w:tc>
          <w:tcPr>
            <w:tcW w:w="700" w:type="dxa"/>
            <w:tcMar>
              <w:top w:w="0" w:type="dxa"/>
              <w:bottom w:w="0" w:type="dxa"/>
            </w:tcMar>
            <w:vAlign w:val="center"/>
          </w:tcPr>
          <w:p w:rsidR="007A6BC0" w:rsidRDefault="002E249B">
            <w:pPr>
              <w:keepNext/>
              <w:keepLines/>
              <w:spacing w:after="0" w:line="240" w:lineRule="auto"/>
              <w:jc w:val="right"/>
            </w:pPr>
            <w:r>
              <w:rPr>
                <w:sz w:val="18"/>
              </w:rPr>
              <w:t>-</w:t>
            </w:r>
          </w:p>
        </w:tc>
      </w:tr>
    </w:tbl>
    <w:p w:rsidR="007A6BC0" w:rsidRDefault="007A6BC0">
      <w:pPr>
        <w:spacing w:after="0"/>
      </w:pPr>
    </w:p>
    <w:p w:rsidR="007A6BC0" w:rsidRDefault="002E249B">
      <w:pPr>
        <w:spacing w:line="240" w:lineRule="auto"/>
        <w:jc w:val="both"/>
      </w:pPr>
      <w:r>
        <w:t xml:space="preserve">Nedospjele obveze evidentirane u iznosu 23.776.663,82 eura. Odnose se na obveze za rashode </w:t>
      </w:r>
      <w:r>
        <w:t>poslovanja u iznosu 2.065.489,72 eura (živežne namirnice, energija, tekuće i investicijsko ulaganje te ostale razne usluge), obveze za nabavu nefinancijske imovine u iznosu 871.990,22 eura (radovi na projektu Unapređenje kvalitete smještaja i sadržaja hote</w:t>
      </w:r>
      <w:r>
        <w:t>la Minerva), na obveze prema bankama za kredite u iznosu 8.303.951,72 eura (ulaganja u energetsku obnovu bolničkih zgrada),  na obveze za primljene EU predujmove za projekt Unapređenje kvalitete smještaja i sadržaja hotela Minerva u iznosu 1.076.322,06 eur</w:t>
      </w:r>
      <w:r>
        <w:t>a, obveze za EU predujmove za sufinanciranje plaća pripravnika medicinske struke u iznosu 41.346,21 eura, obveza prema HZZO-u za manje izvršen rad u iznosu 11.101.903,80 eura, obveze za porez na dodanu vrijednost u iznosu 207.276,98 eura te na ostale nespo</w:t>
      </w:r>
      <w:r>
        <w:t>menute obveze iznos od 108.383,11 eura.</w:t>
      </w:r>
    </w:p>
    <w:p w:rsidR="002E249B" w:rsidRDefault="002E249B">
      <w:bookmarkStart w:id="0" w:name="_GoBack"/>
      <w:bookmarkEnd w:id="0"/>
    </w:p>
    <w:p w:rsidR="002E249B" w:rsidRPr="002E249B" w:rsidRDefault="002E249B" w:rsidP="002E249B">
      <w:pPr>
        <w:spacing w:after="0" w:line="240" w:lineRule="auto"/>
        <w:jc w:val="both"/>
        <w:rPr>
          <w:rFonts w:ascii="Calibri" w:eastAsia="Calibri" w:hAnsi="Calibri" w:cs="Times New Roman"/>
          <w:sz w:val="22"/>
          <w:lang w:eastAsia="en-US"/>
        </w:rPr>
      </w:pPr>
      <w:r w:rsidRPr="002E249B">
        <w:rPr>
          <w:rFonts w:ascii="Calibri" w:eastAsia="Calibri" w:hAnsi="Calibri" w:cs="Times New Roman"/>
          <w:sz w:val="22"/>
          <w:lang w:eastAsia="en-US"/>
        </w:rPr>
        <w:t xml:space="preserve">Varaždinske Toplice, </w:t>
      </w:r>
      <w:r>
        <w:rPr>
          <w:rFonts w:ascii="Calibri" w:eastAsia="Calibri" w:hAnsi="Calibri" w:cs="Times New Roman"/>
          <w:sz w:val="22"/>
          <w:lang w:eastAsia="en-US"/>
        </w:rPr>
        <w:t>10.07</w:t>
      </w:r>
      <w:r w:rsidRPr="002E249B">
        <w:rPr>
          <w:rFonts w:ascii="Calibri" w:eastAsia="Calibri" w:hAnsi="Calibri" w:cs="Times New Roman"/>
          <w:sz w:val="22"/>
          <w:lang w:eastAsia="en-US"/>
        </w:rPr>
        <w:t>.2025.</w:t>
      </w:r>
    </w:p>
    <w:p w:rsidR="002E249B" w:rsidRPr="002E249B" w:rsidRDefault="002E249B" w:rsidP="002E249B">
      <w:pPr>
        <w:spacing w:after="0" w:line="240" w:lineRule="auto"/>
        <w:jc w:val="both"/>
        <w:rPr>
          <w:rFonts w:ascii="Calibri" w:eastAsia="Calibri" w:hAnsi="Calibri" w:cs="Times New Roman"/>
          <w:b/>
          <w:i/>
          <w:sz w:val="22"/>
          <w:lang w:eastAsia="en-US"/>
        </w:rPr>
      </w:pPr>
      <w:r w:rsidRPr="002E249B">
        <w:rPr>
          <w:rFonts w:ascii="Calibri" w:eastAsia="Calibri" w:hAnsi="Calibri" w:cs="Times New Roman"/>
          <w:b/>
          <w:i/>
          <w:sz w:val="22"/>
          <w:lang w:eastAsia="en-US"/>
        </w:rPr>
        <w:t>Broj: 04-161/</w:t>
      </w:r>
      <w:r>
        <w:rPr>
          <w:rFonts w:ascii="Calibri" w:eastAsia="Calibri" w:hAnsi="Calibri" w:cs="Times New Roman"/>
          <w:b/>
          <w:i/>
          <w:sz w:val="22"/>
          <w:lang w:eastAsia="en-US"/>
        </w:rPr>
        <w:t>3</w:t>
      </w:r>
      <w:r w:rsidRPr="002E249B">
        <w:rPr>
          <w:rFonts w:ascii="Calibri" w:eastAsia="Calibri" w:hAnsi="Calibri" w:cs="Times New Roman"/>
          <w:b/>
          <w:i/>
          <w:sz w:val="22"/>
          <w:lang w:eastAsia="en-US"/>
        </w:rPr>
        <w:t>-2025.</w:t>
      </w:r>
    </w:p>
    <w:p w:rsidR="002E249B" w:rsidRPr="002E249B" w:rsidRDefault="002E249B" w:rsidP="002E249B">
      <w:pPr>
        <w:spacing w:after="0" w:line="240" w:lineRule="auto"/>
        <w:jc w:val="both"/>
        <w:rPr>
          <w:rFonts w:ascii="Calibri" w:eastAsia="Calibri" w:hAnsi="Calibri" w:cs="Times New Roman"/>
          <w:b/>
          <w:i/>
          <w:sz w:val="22"/>
          <w:lang w:eastAsia="en-US"/>
        </w:rPr>
      </w:pPr>
    </w:p>
    <w:p w:rsidR="002E249B" w:rsidRPr="002E249B" w:rsidRDefault="002E249B" w:rsidP="002E249B">
      <w:pPr>
        <w:spacing w:after="0" w:line="240" w:lineRule="auto"/>
        <w:jc w:val="both"/>
        <w:rPr>
          <w:rFonts w:ascii="Calibri" w:eastAsia="Calibri" w:hAnsi="Calibri" w:cs="Times New Roman"/>
          <w:i/>
          <w:sz w:val="22"/>
          <w:u w:val="single"/>
          <w:lang w:eastAsia="en-US"/>
        </w:rPr>
      </w:pPr>
      <w:r w:rsidRPr="002E249B">
        <w:rPr>
          <w:rFonts w:ascii="Calibri" w:eastAsia="Calibri" w:hAnsi="Calibri" w:cs="Times New Roman"/>
          <w:i/>
          <w:sz w:val="22"/>
          <w:u w:val="single"/>
          <w:lang w:eastAsia="en-US"/>
        </w:rPr>
        <w:t>Osoba za kontakt:  Voditeljica odjela za financijske poslove, Spomenka Sakač, 042/633-384.</w:t>
      </w:r>
    </w:p>
    <w:p w:rsidR="002E249B" w:rsidRPr="002E249B" w:rsidRDefault="002E249B" w:rsidP="002E249B">
      <w:pPr>
        <w:spacing w:after="0" w:line="240" w:lineRule="auto"/>
        <w:jc w:val="both"/>
        <w:rPr>
          <w:rFonts w:ascii="Calibri" w:eastAsia="Calibri" w:hAnsi="Calibri" w:cs="Times New Roman"/>
          <w:b/>
          <w:i/>
          <w:sz w:val="22"/>
          <w:u w:val="single"/>
          <w:lang w:eastAsia="en-US"/>
        </w:rPr>
      </w:pPr>
    </w:p>
    <w:p w:rsidR="002E249B" w:rsidRPr="002E249B" w:rsidRDefault="002E249B" w:rsidP="002E249B">
      <w:pPr>
        <w:spacing w:after="0" w:line="240" w:lineRule="auto"/>
        <w:jc w:val="both"/>
        <w:rPr>
          <w:rFonts w:ascii="Calibri" w:eastAsia="Calibri" w:hAnsi="Calibri" w:cs="Times New Roman"/>
          <w:b/>
          <w:i/>
          <w:sz w:val="22"/>
          <w:u w:val="single"/>
          <w:lang w:eastAsia="en-US"/>
        </w:rPr>
      </w:pPr>
    </w:p>
    <w:p w:rsidR="002E249B" w:rsidRPr="002E249B" w:rsidRDefault="002E249B" w:rsidP="002E249B">
      <w:pPr>
        <w:spacing w:after="0" w:line="240" w:lineRule="auto"/>
        <w:jc w:val="both"/>
        <w:rPr>
          <w:rFonts w:ascii="Calibri" w:eastAsia="Calibri" w:hAnsi="Calibri" w:cs="Times New Roman"/>
          <w:b/>
          <w:i/>
          <w:sz w:val="22"/>
          <w:u w:val="single"/>
          <w:lang w:eastAsia="en-US"/>
        </w:rPr>
      </w:pPr>
      <w:r w:rsidRPr="002E249B">
        <w:rPr>
          <w:rFonts w:ascii="Calibri" w:eastAsia="Calibri" w:hAnsi="Calibri" w:cs="Times New Roman"/>
          <w:b/>
          <w:i/>
          <w:sz w:val="22"/>
          <w:u w:val="single"/>
          <w:lang w:eastAsia="en-US"/>
        </w:rPr>
        <w:t xml:space="preserve">                               </w:t>
      </w:r>
    </w:p>
    <w:p w:rsidR="002E249B" w:rsidRPr="002E249B" w:rsidRDefault="002E249B" w:rsidP="002E249B">
      <w:pPr>
        <w:spacing w:after="0" w:line="276" w:lineRule="auto"/>
        <w:jc w:val="both"/>
        <w:rPr>
          <w:rFonts w:ascii="Calibri" w:eastAsia="Calibri" w:hAnsi="Calibri" w:cs="Times New Roman"/>
          <w:sz w:val="22"/>
          <w:lang w:eastAsia="en-US"/>
        </w:rPr>
      </w:pPr>
      <w:r w:rsidRPr="002E249B">
        <w:rPr>
          <w:rFonts w:ascii="Calibri" w:eastAsia="Calibri" w:hAnsi="Calibri" w:cs="Times New Roman"/>
          <w:sz w:val="22"/>
          <w:lang w:eastAsia="en-US"/>
        </w:rPr>
        <w:t xml:space="preserve">                                                                                                                                                 Ravnatelj:</w:t>
      </w:r>
    </w:p>
    <w:p w:rsidR="002E249B" w:rsidRPr="002E249B" w:rsidRDefault="002E249B" w:rsidP="002E249B">
      <w:pPr>
        <w:spacing w:after="0" w:line="276" w:lineRule="auto"/>
        <w:jc w:val="both"/>
        <w:rPr>
          <w:rFonts w:ascii="Calibri" w:eastAsia="Calibri" w:hAnsi="Calibri" w:cs="Times New Roman"/>
          <w:sz w:val="22"/>
          <w:lang w:eastAsia="en-US"/>
        </w:rPr>
      </w:pPr>
      <w:r w:rsidRPr="002E249B">
        <w:rPr>
          <w:rFonts w:ascii="Calibri" w:eastAsia="Calibri" w:hAnsi="Calibri" w:cs="Times New Roman"/>
          <w:sz w:val="22"/>
          <w:lang w:eastAsia="en-US"/>
        </w:rPr>
        <w:t xml:space="preserve">                                                                                                                                  Denis Kovačić, dr. med. </w:t>
      </w:r>
      <w:proofErr w:type="spellStart"/>
      <w:r w:rsidRPr="002E249B">
        <w:rPr>
          <w:rFonts w:ascii="Calibri" w:eastAsia="Calibri" w:hAnsi="Calibri" w:cs="Times New Roman"/>
          <w:sz w:val="22"/>
          <w:lang w:eastAsia="en-US"/>
        </w:rPr>
        <w:t>spec</w:t>
      </w:r>
      <w:proofErr w:type="spellEnd"/>
      <w:r w:rsidRPr="002E249B">
        <w:rPr>
          <w:rFonts w:ascii="Calibri" w:eastAsia="Calibri" w:hAnsi="Calibri" w:cs="Times New Roman"/>
          <w:sz w:val="22"/>
          <w:lang w:eastAsia="en-US"/>
        </w:rPr>
        <w:t>.</w:t>
      </w:r>
    </w:p>
    <w:p w:rsidR="002E249B" w:rsidRDefault="002E249B"/>
    <w:sectPr w:rsidR="002E2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C0"/>
    <w:rsid w:val="002E249B"/>
    <w:rsid w:val="007A6BC0"/>
    <w:rsid w:val="00ED0F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AA1AF-16DA-453D-A0C4-1BF60153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5357</Words>
  <Characters>30540</Characters>
  <Application>Microsoft Office Word</Application>
  <DocSecurity>0</DocSecurity>
  <Lines>254</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Spomenka Sakač</dc:creator>
  <cp:lastModifiedBy>Spomenka Sakač</cp:lastModifiedBy>
  <cp:revision>3</cp:revision>
  <dcterms:created xsi:type="dcterms:W3CDTF">2025-07-10T13:38:00Z</dcterms:created>
  <dcterms:modified xsi:type="dcterms:W3CDTF">2025-07-10T13:47:00Z</dcterms:modified>
</cp:coreProperties>
</file>