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64" w:rsidRPr="00D4566A" w:rsidRDefault="00F42C64" w:rsidP="00F42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66A">
        <w:rPr>
          <w:rFonts w:ascii="Times New Roman" w:hAnsi="Times New Roman" w:cs="Times New Roman"/>
          <w:b/>
          <w:sz w:val="24"/>
          <w:szCs w:val="24"/>
        </w:rPr>
        <w:t>SPECIJALNA BOLNICA ZA MEDICINSKU</w:t>
      </w:r>
    </w:p>
    <w:p w:rsidR="00F42C64" w:rsidRPr="00D4566A" w:rsidRDefault="00F42C64" w:rsidP="00F42C6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4566A">
        <w:rPr>
          <w:rFonts w:ascii="Times New Roman" w:hAnsi="Times New Roman" w:cs="Times New Roman"/>
          <w:b/>
          <w:sz w:val="24"/>
          <w:szCs w:val="24"/>
        </w:rPr>
        <w:t>REHABILITACIJU</w:t>
      </w:r>
    </w:p>
    <w:p w:rsidR="00F42C64" w:rsidRPr="00D4566A" w:rsidRDefault="00F42C64" w:rsidP="00F42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66A">
        <w:rPr>
          <w:rFonts w:ascii="Times New Roman" w:hAnsi="Times New Roman" w:cs="Times New Roman"/>
          <w:b/>
          <w:sz w:val="24"/>
          <w:szCs w:val="24"/>
        </w:rPr>
        <w:t xml:space="preserve">      VARAŽDINSKE TOPLICE</w:t>
      </w:r>
    </w:p>
    <w:p w:rsidR="00F42C64" w:rsidRPr="00D4566A" w:rsidRDefault="00F42C64" w:rsidP="00F42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66A">
        <w:rPr>
          <w:rFonts w:ascii="Times New Roman" w:hAnsi="Times New Roman" w:cs="Times New Roman"/>
          <w:b/>
          <w:sz w:val="24"/>
          <w:szCs w:val="24"/>
        </w:rPr>
        <w:t>Upravno vijeće</w:t>
      </w:r>
    </w:p>
    <w:p w:rsidR="00F42C64" w:rsidRPr="00D4566A" w:rsidRDefault="00F42C64" w:rsidP="00F42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Broj:</w:t>
      </w:r>
      <w:r w:rsidR="00B71EA6">
        <w:rPr>
          <w:rFonts w:ascii="Times New Roman" w:hAnsi="Times New Roman" w:cs="Times New Roman"/>
          <w:sz w:val="24"/>
          <w:szCs w:val="24"/>
        </w:rPr>
        <w:t xml:space="preserve"> </w:t>
      </w:r>
      <w:r w:rsidR="00C729BA">
        <w:rPr>
          <w:rFonts w:ascii="Times New Roman" w:hAnsi="Times New Roman" w:cs="Times New Roman"/>
          <w:sz w:val="24"/>
          <w:szCs w:val="24"/>
        </w:rPr>
        <w:t>01</w:t>
      </w:r>
      <w:r w:rsidR="00B71EA6" w:rsidRPr="00C729BA">
        <w:rPr>
          <w:rFonts w:ascii="Times New Roman" w:hAnsi="Times New Roman" w:cs="Times New Roman"/>
          <w:sz w:val="24"/>
          <w:szCs w:val="24"/>
        </w:rPr>
        <w:t>-</w:t>
      </w:r>
      <w:r w:rsidR="00C729BA" w:rsidRPr="00C729BA">
        <w:rPr>
          <w:rFonts w:ascii="Times New Roman" w:hAnsi="Times New Roman" w:cs="Times New Roman"/>
          <w:sz w:val="24"/>
          <w:szCs w:val="24"/>
        </w:rPr>
        <w:t>411/3</w:t>
      </w:r>
      <w:r w:rsidR="00B71EA6" w:rsidRPr="00C729BA">
        <w:rPr>
          <w:rFonts w:ascii="Times New Roman" w:hAnsi="Times New Roman" w:cs="Times New Roman"/>
          <w:sz w:val="24"/>
          <w:szCs w:val="24"/>
        </w:rPr>
        <w:t>-</w:t>
      </w:r>
      <w:r w:rsidR="00C729BA" w:rsidRPr="00C729BA">
        <w:rPr>
          <w:rFonts w:ascii="Times New Roman" w:hAnsi="Times New Roman" w:cs="Times New Roman"/>
          <w:sz w:val="24"/>
          <w:szCs w:val="24"/>
        </w:rPr>
        <w:t>202</w:t>
      </w:r>
      <w:r w:rsidR="00FA118E">
        <w:rPr>
          <w:rFonts w:ascii="Times New Roman" w:hAnsi="Times New Roman" w:cs="Times New Roman"/>
          <w:sz w:val="24"/>
          <w:szCs w:val="24"/>
        </w:rPr>
        <w:t>5</w:t>
      </w:r>
      <w:r w:rsidR="00C729BA" w:rsidRPr="00C729BA">
        <w:rPr>
          <w:rFonts w:ascii="Times New Roman" w:hAnsi="Times New Roman" w:cs="Times New Roman"/>
          <w:sz w:val="24"/>
          <w:szCs w:val="24"/>
        </w:rPr>
        <w:t>.</w:t>
      </w:r>
    </w:p>
    <w:p w:rsidR="00F42C64" w:rsidRPr="00D4566A" w:rsidRDefault="00F42C64" w:rsidP="00F42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 xml:space="preserve">Varaždinske Toplice, </w:t>
      </w:r>
      <w:r w:rsidR="008F1E19" w:rsidRPr="00D4566A">
        <w:rPr>
          <w:rFonts w:ascii="Times New Roman" w:hAnsi="Times New Roman" w:cs="Times New Roman"/>
          <w:sz w:val="24"/>
          <w:szCs w:val="24"/>
        </w:rPr>
        <w:t>2</w:t>
      </w:r>
      <w:r w:rsidR="001757EE">
        <w:rPr>
          <w:rFonts w:ascii="Times New Roman" w:hAnsi="Times New Roman" w:cs="Times New Roman"/>
          <w:sz w:val="24"/>
          <w:szCs w:val="24"/>
        </w:rPr>
        <w:t>7</w:t>
      </w:r>
      <w:r w:rsidRPr="00D4566A">
        <w:rPr>
          <w:rFonts w:ascii="Times New Roman" w:hAnsi="Times New Roman" w:cs="Times New Roman"/>
          <w:sz w:val="24"/>
          <w:szCs w:val="24"/>
        </w:rPr>
        <w:t>.03.202</w:t>
      </w:r>
      <w:r w:rsidR="001757EE">
        <w:rPr>
          <w:rFonts w:ascii="Times New Roman" w:hAnsi="Times New Roman" w:cs="Times New Roman"/>
          <w:sz w:val="24"/>
          <w:szCs w:val="24"/>
        </w:rPr>
        <w:t>5</w:t>
      </w:r>
      <w:r w:rsidRPr="00D456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CA4" w:rsidRPr="00D4566A" w:rsidRDefault="00051CA4" w:rsidP="00F42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CA4" w:rsidRPr="00D4566A" w:rsidRDefault="00051CA4" w:rsidP="00D456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Na temelju članka 91. stavka 2. Zakona o proračunu (N.N. 144/21.) i članka 1</w:t>
      </w:r>
      <w:r w:rsidR="00403C4F">
        <w:rPr>
          <w:rFonts w:ascii="Times New Roman" w:hAnsi="Times New Roman" w:cs="Times New Roman"/>
          <w:sz w:val="24"/>
          <w:szCs w:val="24"/>
        </w:rPr>
        <w:t>6</w:t>
      </w:r>
      <w:r w:rsidRPr="00D4566A">
        <w:rPr>
          <w:rFonts w:ascii="Times New Roman" w:hAnsi="Times New Roman" w:cs="Times New Roman"/>
          <w:sz w:val="24"/>
          <w:szCs w:val="24"/>
        </w:rPr>
        <w:t xml:space="preserve">. Statuta Specijalne bolnice za medicinsku rehabilitaciju Varaždinske Toplice, Upravno vijeće je na svojoj </w:t>
      </w:r>
      <w:r w:rsidR="00403C4F">
        <w:rPr>
          <w:rFonts w:ascii="Times New Roman" w:hAnsi="Times New Roman" w:cs="Times New Roman"/>
          <w:sz w:val="24"/>
          <w:szCs w:val="24"/>
        </w:rPr>
        <w:t>15</w:t>
      </w:r>
      <w:r w:rsidRPr="00D4566A">
        <w:rPr>
          <w:rFonts w:ascii="Times New Roman" w:hAnsi="Times New Roman" w:cs="Times New Roman"/>
          <w:sz w:val="24"/>
          <w:szCs w:val="24"/>
        </w:rPr>
        <w:t>. sjednici održanoj dana 2</w:t>
      </w:r>
      <w:r w:rsidR="00456A30">
        <w:rPr>
          <w:rFonts w:ascii="Times New Roman" w:hAnsi="Times New Roman" w:cs="Times New Roman"/>
          <w:sz w:val="24"/>
          <w:szCs w:val="24"/>
        </w:rPr>
        <w:t>7</w:t>
      </w:r>
      <w:r w:rsidRPr="00D4566A">
        <w:rPr>
          <w:rFonts w:ascii="Times New Roman" w:hAnsi="Times New Roman" w:cs="Times New Roman"/>
          <w:sz w:val="24"/>
          <w:szCs w:val="24"/>
        </w:rPr>
        <w:t>. ožujka 202</w:t>
      </w:r>
      <w:r w:rsidR="00403C4F">
        <w:rPr>
          <w:rFonts w:ascii="Times New Roman" w:hAnsi="Times New Roman" w:cs="Times New Roman"/>
          <w:sz w:val="24"/>
          <w:szCs w:val="24"/>
        </w:rPr>
        <w:t>5</w:t>
      </w:r>
      <w:r w:rsidRPr="00D4566A">
        <w:rPr>
          <w:rFonts w:ascii="Times New Roman" w:hAnsi="Times New Roman" w:cs="Times New Roman"/>
          <w:sz w:val="24"/>
          <w:szCs w:val="24"/>
        </w:rPr>
        <w:t xml:space="preserve">. godine usvojilo </w:t>
      </w:r>
    </w:p>
    <w:p w:rsidR="00F42C64" w:rsidRPr="00D4566A" w:rsidRDefault="00F42C64" w:rsidP="00F727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0B4F" w:rsidRPr="00D4566A" w:rsidRDefault="00F90489" w:rsidP="00F90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66A">
        <w:rPr>
          <w:rFonts w:ascii="Times New Roman" w:hAnsi="Times New Roman" w:cs="Times New Roman"/>
          <w:b/>
          <w:sz w:val="24"/>
          <w:szCs w:val="24"/>
        </w:rPr>
        <w:t>GODIŠNJI IZVJEŠTAJ</w:t>
      </w:r>
    </w:p>
    <w:p w:rsidR="00F90489" w:rsidRPr="00D4566A" w:rsidRDefault="00F90489" w:rsidP="00F90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66A">
        <w:rPr>
          <w:rFonts w:ascii="Times New Roman" w:hAnsi="Times New Roman" w:cs="Times New Roman"/>
          <w:b/>
          <w:sz w:val="24"/>
          <w:szCs w:val="24"/>
        </w:rPr>
        <w:t>o provedbi višegodišnjeg plana uravnoteženja Specijalne bolnice za medicinsku rehabilitaciju Vara</w:t>
      </w:r>
      <w:r w:rsidR="00456A30">
        <w:rPr>
          <w:rFonts w:ascii="Times New Roman" w:hAnsi="Times New Roman" w:cs="Times New Roman"/>
          <w:b/>
          <w:sz w:val="24"/>
          <w:szCs w:val="24"/>
        </w:rPr>
        <w:t>ždinske Toplice za 2024</w:t>
      </w:r>
      <w:r w:rsidRPr="00D4566A"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:rsidR="00750B4F" w:rsidRPr="00D4566A" w:rsidRDefault="00750B4F" w:rsidP="0075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74B" w:rsidRPr="00D4566A" w:rsidRDefault="00F7274B" w:rsidP="0075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990" w:rsidRPr="00D4566A" w:rsidRDefault="003913AC" w:rsidP="0075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Uz Financijski plan Specijalne bolnice za medicinsku rehabilitaciju Varaždinske Toplice za razdoblje 202</w:t>
      </w:r>
      <w:r w:rsidR="00403C4F">
        <w:rPr>
          <w:rFonts w:ascii="Times New Roman" w:hAnsi="Times New Roman" w:cs="Times New Roman"/>
          <w:sz w:val="24"/>
          <w:szCs w:val="24"/>
        </w:rPr>
        <w:t>4</w:t>
      </w:r>
      <w:r w:rsidRPr="00D4566A">
        <w:rPr>
          <w:rFonts w:ascii="Times New Roman" w:hAnsi="Times New Roman" w:cs="Times New Roman"/>
          <w:sz w:val="24"/>
          <w:szCs w:val="24"/>
        </w:rPr>
        <w:t>.-202</w:t>
      </w:r>
      <w:r w:rsidR="00403C4F">
        <w:rPr>
          <w:rFonts w:ascii="Times New Roman" w:hAnsi="Times New Roman" w:cs="Times New Roman"/>
          <w:sz w:val="24"/>
          <w:szCs w:val="24"/>
        </w:rPr>
        <w:t>6</w:t>
      </w:r>
      <w:r w:rsidRPr="00D4566A">
        <w:rPr>
          <w:rFonts w:ascii="Times New Roman" w:hAnsi="Times New Roman" w:cs="Times New Roman"/>
          <w:sz w:val="24"/>
          <w:szCs w:val="24"/>
        </w:rPr>
        <w:t>. godine, Upravno vijeće Specijalne bolnice za medicinsku rehabilitaciju</w:t>
      </w:r>
      <w:r w:rsidR="00110A68" w:rsidRPr="00D4566A">
        <w:rPr>
          <w:rFonts w:ascii="Times New Roman" w:hAnsi="Times New Roman" w:cs="Times New Roman"/>
          <w:sz w:val="24"/>
          <w:szCs w:val="24"/>
        </w:rPr>
        <w:t xml:space="preserve"> Varaždinske Toplice</w:t>
      </w:r>
      <w:r w:rsidRPr="00D4566A">
        <w:rPr>
          <w:rFonts w:ascii="Times New Roman" w:hAnsi="Times New Roman" w:cs="Times New Roman"/>
          <w:sz w:val="24"/>
          <w:szCs w:val="24"/>
        </w:rPr>
        <w:t xml:space="preserve"> </w:t>
      </w:r>
      <w:r w:rsidR="008F1E19" w:rsidRPr="00D4566A">
        <w:rPr>
          <w:rFonts w:ascii="Times New Roman" w:hAnsi="Times New Roman" w:cs="Times New Roman"/>
          <w:sz w:val="24"/>
          <w:szCs w:val="24"/>
        </w:rPr>
        <w:t xml:space="preserve">je </w:t>
      </w:r>
      <w:r w:rsidRPr="00D4566A">
        <w:rPr>
          <w:rFonts w:ascii="Times New Roman" w:hAnsi="Times New Roman" w:cs="Times New Roman"/>
          <w:sz w:val="24"/>
          <w:szCs w:val="24"/>
        </w:rPr>
        <w:t xml:space="preserve">na svojoj </w:t>
      </w:r>
      <w:r w:rsidR="00403C4F">
        <w:rPr>
          <w:rFonts w:ascii="Times New Roman" w:hAnsi="Times New Roman" w:cs="Times New Roman"/>
          <w:sz w:val="24"/>
          <w:szCs w:val="24"/>
        </w:rPr>
        <w:t>117.</w:t>
      </w:r>
      <w:r w:rsidRPr="00D4566A">
        <w:rPr>
          <w:rFonts w:ascii="Times New Roman" w:hAnsi="Times New Roman" w:cs="Times New Roman"/>
          <w:sz w:val="24"/>
          <w:szCs w:val="24"/>
        </w:rPr>
        <w:t xml:space="preserve"> sjednici, održanoj </w:t>
      </w:r>
      <w:r w:rsidR="00403C4F">
        <w:rPr>
          <w:rFonts w:ascii="Times New Roman" w:hAnsi="Times New Roman" w:cs="Times New Roman"/>
          <w:sz w:val="24"/>
          <w:szCs w:val="24"/>
        </w:rPr>
        <w:t>30</w:t>
      </w:r>
      <w:r w:rsidR="00BC6967" w:rsidRPr="00D4566A">
        <w:rPr>
          <w:rFonts w:ascii="Times New Roman" w:hAnsi="Times New Roman" w:cs="Times New Roman"/>
          <w:sz w:val="24"/>
          <w:szCs w:val="24"/>
        </w:rPr>
        <w:t xml:space="preserve">. </w:t>
      </w:r>
      <w:r w:rsidR="00403C4F">
        <w:rPr>
          <w:rFonts w:ascii="Times New Roman" w:hAnsi="Times New Roman" w:cs="Times New Roman"/>
          <w:sz w:val="24"/>
          <w:szCs w:val="24"/>
        </w:rPr>
        <w:t>listopada</w:t>
      </w:r>
      <w:r w:rsidR="00BC6967" w:rsidRPr="00D4566A">
        <w:rPr>
          <w:rFonts w:ascii="Times New Roman" w:hAnsi="Times New Roman" w:cs="Times New Roman"/>
          <w:sz w:val="24"/>
          <w:szCs w:val="24"/>
        </w:rPr>
        <w:t xml:space="preserve"> 202</w:t>
      </w:r>
      <w:r w:rsidR="00403C4F">
        <w:rPr>
          <w:rFonts w:ascii="Times New Roman" w:hAnsi="Times New Roman" w:cs="Times New Roman"/>
          <w:sz w:val="24"/>
          <w:szCs w:val="24"/>
        </w:rPr>
        <w:t>3</w:t>
      </w:r>
      <w:r w:rsidRPr="00D4566A">
        <w:rPr>
          <w:rFonts w:ascii="Times New Roman" w:hAnsi="Times New Roman" w:cs="Times New Roman"/>
          <w:sz w:val="24"/>
          <w:szCs w:val="24"/>
        </w:rPr>
        <w:t>. godine donijelo Odluku o višegodišnjem planu uravnoteženja</w:t>
      </w:r>
      <w:r w:rsidR="008F1E19" w:rsidRPr="00D4566A">
        <w:rPr>
          <w:rFonts w:ascii="Times New Roman" w:hAnsi="Times New Roman" w:cs="Times New Roman"/>
          <w:sz w:val="24"/>
          <w:szCs w:val="24"/>
        </w:rPr>
        <w:t>, mjerama za otklanjanje uzroka negativnog poslovanja s akcijskim planom provedbe mjera za 202</w:t>
      </w:r>
      <w:r w:rsidR="00403C4F">
        <w:rPr>
          <w:rFonts w:ascii="Times New Roman" w:hAnsi="Times New Roman" w:cs="Times New Roman"/>
          <w:sz w:val="24"/>
          <w:szCs w:val="24"/>
        </w:rPr>
        <w:t>4</w:t>
      </w:r>
      <w:r w:rsidR="008F1E19" w:rsidRPr="00D4566A">
        <w:rPr>
          <w:rFonts w:ascii="Times New Roman" w:hAnsi="Times New Roman" w:cs="Times New Roman"/>
          <w:sz w:val="24"/>
          <w:szCs w:val="24"/>
        </w:rPr>
        <w:t>., 202</w:t>
      </w:r>
      <w:r w:rsidR="00403C4F">
        <w:rPr>
          <w:rFonts w:ascii="Times New Roman" w:hAnsi="Times New Roman" w:cs="Times New Roman"/>
          <w:sz w:val="24"/>
          <w:szCs w:val="24"/>
        </w:rPr>
        <w:t>5</w:t>
      </w:r>
      <w:r w:rsidR="008F1E19" w:rsidRPr="00D4566A">
        <w:rPr>
          <w:rFonts w:ascii="Times New Roman" w:hAnsi="Times New Roman" w:cs="Times New Roman"/>
          <w:sz w:val="24"/>
          <w:szCs w:val="24"/>
        </w:rPr>
        <w:t>. i 202</w:t>
      </w:r>
      <w:r w:rsidR="00403C4F">
        <w:rPr>
          <w:rFonts w:ascii="Times New Roman" w:hAnsi="Times New Roman" w:cs="Times New Roman"/>
          <w:sz w:val="24"/>
          <w:szCs w:val="24"/>
        </w:rPr>
        <w:t>6</w:t>
      </w:r>
      <w:r w:rsidR="008F1E19" w:rsidRPr="00D4566A">
        <w:rPr>
          <w:rFonts w:ascii="Times New Roman" w:hAnsi="Times New Roman" w:cs="Times New Roman"/>
          <w:sz w:val="24"/>
          <w:szCs w:val="24"/>
        </w:rPr>
        <w:t>. godin</w:t>
      </w:r>
      <w:r w:rsidR="00110A68" w:rsidRPr="00D4566A">
        <w:rPr>
          <w:rFonts w:ascii="Times New Roman" w:hAnsi="Times New Roman" w:cs="Times New Roman"/>
          <w:sz w:val="24"/>
          <w:szCs w:val="24"/>
        </w:rPr>
        <w:t>e (broj 01-</w:t>
      </w:r>
      <w:r w:rsidR="00403C4F">
        <w:rPr>
          <w:rFonts w:ascii="Times New Roman" w:hAnsi="Times New Roman" w:cs="Times New Roman"/>
          <w:sz w:val="24"/>
          <w:szCs w:val="24"/>
        </w:rPr>
        <w:t>1791/8</w:t>
      </w:r>
      <w:r w:rsidR="00110A68" w:rsidRPr="00D4566A">
        <w:rPr>
          <w:rFonts w:ascii="Times New Roman" w:hAnsi="Times New Roman" w:cs="Times New Roman"/>
          <w:sz w:val="24"/>
          <w:szCs w:val="24"/>
        </w:rPr>
        <w:t>-202</w:t>
      </w:r>
      <w:r w:rsidR="00403C4F">
        <w:rPr>
          <w:rFonts w:ascii="Times New Roman" w:hAnsi="Times New Roman" w:cs="Times New Roman"/>
          <w:sz w:val="24"/>
          <w:szCs w:val="24"/>
        </w:rPr>
        <w:t>3</w:t>
      </w:r>
      <w:r w:rsidR="00110A68" w:rsidRPr="00D4566A">
        <w:rPr>
          <w:rFonts w:ascii="Times New Roman" w:hAnsi="Times New Roman" w:cs="Times New Roman"/>
          <w:sz w:val="24"/>
          <w:szCs w:val="24"/>
        </w:rPr>
        <w:t>.)</w:t>
      </w:r>
      <w:r w:rsidR="008F1E19" w:rsidRPr="00D4566A">
        <w:rPr>
          <w:rFonts w:ascii="Times New Roman" w:hAnsi="Times New Roman" w:cs="Times New Roman"/>
          <w:sz w:val="24"/>
          <w:szCs w:val="24"/>
        </w:rPr>
        <w:t>. U navedenom višegodišnjem planu uravnoteženja</w:t>
      </w:r>
      <w:r w:rsidR="00110A68" w:rsidRPr="00D4566A">
        <w:rPr>
          <w:rFonts w:ascii="Times New Roman" w:hAnsi="Times New Roman" w:cs="Times New Roman"/>
          <w:sz w:val="24"/>
          <w:szCs w:val="24"/>
        </w:rPr>
        <w:t xml:space="preserve"> daju se podaci o planiranim prihodima i primicima, rashodima i izdacima te rezultatu poslovanja, odnosno pokriću</w:t>
      </w:r>
      <w:r w:rsidR="008B3BC5" w:rsidRPr="00D4566A">
        <w:rPr>
          <w:rFonts w:ascii="Times New Roman" w:hAnsi="Times New Roman" w:cs="Times New Roman"/>
          <w:sz w:val="24"/>
          <w:szCs w:val="24"/>
        </w:rPr>
        <w:t xml:space="preserve"> prenesenog manjka prihoda i primitaka</w:t>
      </w:r>
      <w:r w:rsidR="00110A68" w:rsidRPr="00D4566A">
        <w:rPr>
          <w:rFonts w:ascii="Times New Roman" w:hAnsi="Times New Roman" w:cs="Times New Roman"/>
          <w:sz w:val="24"/>
          <w:szCs w:val="24"/>
        </w:rPr>
        <w:t xml:space="preserve"> iz prijašnjih godina, a </w:t>
      </w:r>
      <w:r w:rsidR="008B3BC5" w:rsidRPr="00D4566A">
        <w:rPr>
          <w:rFonts w:ascii="Times New Roman" w:hAnsi="Times New Roman" w:cs="Times New Roman"/>
          <w:sz w:val="24"/>
          <w:szCs w:val="24"/>
        </w:rPr>
        <w:t>koji se prenosi i planira u Financijskom planu za 202</w:t>
      </w:r>
      <w:r w:rsidR="00403C4F">
        <w:rPr>
          <w:rFonts w:ascii="Times New Roman" w:hAnsi="Times New Roman" w:cs="Times New Roman"/>
          <w:sz w:val="24"/>
          <w:szCs w:val="24"/>
        </w:rPr>
        <w:t>4</w:t>
      </w:r>
      <w:r w:rsidR="008B3BC5" w:rsidRPr="00D4566A">
        <w:rPr>
          <w:rFonts w:ascii="Times New Roman" w:hAnsi="Times New Roman" w:cs="Times New Roman"/>
          <w:sz w:val="24"/>
          <w:szCs w:val="24"/>
        </w:rPr>
        <w:t>. godinu s projekcijama za 202</w:t>
      </w:r>
      <w:r w:rsidR="00403C4F">
        <w:rPr>
          <w:rFonts w:ascii="Times New Roman" w:hAnsi="Times New Roman" w:cs="Times New Roman"/>
          <w:sz w:val="24"/>
          <w:szCs w:val="24"/>
        </w:rPr>
        <w:t>5</w:t>
      </w:r>
      <w:r w:rsidR="008B3BC5" w:rsidRPr="00D4566A">
        <w:rPr>
          <w:rFonts w:ascii="Times New Roman" w:hAnsi="Times New Roman" w:cs="Times New Roman"/>
          <w:sz w:val="24"/>
          <w:szCs w:val="24"/>
        </w:rPr>
        <w:t>. i 202</w:t>
      </w:r>
      <w:r w:rsidR="00403C4F">
        <w:rPr>
          <w:rFonts w:ascii="Times New Roman" w:hAnsi="Times New Roman" w:cs="Times New Roman"/>
          <w:sz w:val="24"/>
          <w:szCs w:val="24"/>
        </w:rPr>
        <w:t>6</w:t>
      </w:r>
      <w:r w:rsidR="008B3BC5" w:rsidRPr="00D4566A">
        <w:rPr>
          <w:rFonts w:ascii="Times New Roman" w:hAnsi="Times New Roman" w:cs="Times New Roman"/>
          <w:sz w:val="24"/>
          <w:szCs w:val="24"/>
        </w:rPr>
        <w:t>. godinu</w:t>
      </w:r>
      <w:r w:rsidR="00110A68" w:rsidRPr="00D4566A">
        <w:rPr>
          <w:rFonts w:ascii="Times New Roman" w:hAnsi="Times New Roman" w:cs="Times New Roman"/>
          <w:sz w:val="24"/>
          <w:szCs w:val="24"/>
        </w:rPr>
        <w:t>.</w:t>
      </w:r>
      <w:r w:rsidR="008B3BC5" w:rsidRPr="00D4566A">
        <w:rPr>
          <w:rFonts w:ascii="Times New Roman" w:hAnsi="Times New Roman" w:cs="Times New Roman"/>
          <w:sz w:val="24"/>
          <w:szCs w:val="24"/>
        </w:rPr>
        <w:t xml:space="preserve"> Procjena rezultata na kraju 202</w:t>
      </w:r>
      <w:r w:rsidR="00403C4F">
        <w:rPr>
          <w:rFonts w:ascii="Times New Roman" w:hAnsi="Times New Roman" w:cs="Times New Roman"/>
          <w:sz w:val="24"/>
          <w:szCs w:val="24"/>
        </w:rPr>
        <w:t>4</w:t>
      </w:r>
      <w:r w:rsidR="008B3BC5" w:rsidRPr="00D4566A">
        <w:rPr>
          <w:rFonts w:ascii="Times New Roman" w:hAnsi="Times New Roman" w:cs="Times New Roman"/>
          <w:sz w:val="24"/>
          <w:szCs w:val="24"/>
        </w:rPr>
        <w:t xml:space="preserve">. godine bio je manjak prihoda i primitaka za pokriće u slijedećem razdoblju </w:t>
      </w:r>
      <w:r w:rsidR="00110A68" w:rsidRPr="00D4566A">
        <w:rPr>
          <w:rFonts w:ascii="Times New Roman" w:hAnsi="Times New Roman" w:cs="Times New Roman"/>
          <w:sz w:val="24"/>
          <w:szCs w:val="24"/>
        </w:rPr>
        <w:t xml:space="preserve">u iznosu </w:t>
      </w:r>
      <w:r w:rsidR="008B3BC5" w:rsidRPr="00D4566A">
        <w:rPr>
          <w:rFonts w:ascii="Times New Roman" w:hAnsi="Times New Roman" w:cs="Times New Roman"/>
          <w:sz w:val="24"/>
          <w:szCs w:val="24"/>
        </w:rPr>
        <w:t xml:space="preserve">od </w:t>
      </w:r>
      <w:r w:rsidR="00403C4F">
        <w:rPr>
          <w:rFonts w:ascii="Times New Roman" w:hAnsi="Times New Roman" w:cs="Times New Roman"/>
          <w:sz w:val="24"/>
          <w:szCs w:val="24"/>
        </w:rPr>
        <w:t>7.202.762,00</w:t>
      </w:r>
      <w:r w:rsidR="008B3BC5" w:rsidRPr="00D4566A">
        <w:rPr>
          <w:rFonts w:ascii="Times New Roman" w:hAnsi="Times New Roman" w:cs="Times New Roman"/>
          <w:sz w:val="24"/>
          <w:szCs w:val="24"/>
        </w:rPr>
        <w:t xml:space="preserve"> eura, a sastoji se od prenesenog manjka prihoda i primitaka u iznosu od </w:t>
      </w:r>
      <w:r w:rsidR="00403C4F">
        <w:rPr>
          <w:rFonts w:ascii="Times New Roman" w:hAnsi="Times New Roman" w:cs="Times New Roman"/>
          <w:sz w:val="24"/>
          <w:szCs w:val="24"/>
        </w:rPr>
        <w:t>9.862.908,00</w:t>
      </w:r>
      <w:r w:rsidR="008B3BC5" w:rsidRPr="00D4566A">
        <w:rPr>
          <w:rFonts w:ascii="Times New Roman" w:hAnsi="Times New Roman" w:cs="Times New Roman"/>
          <w:sz w:val="24"/>
          <w:szCs w:val="24"/>
        </w:rPr>
        <w:t xml:space="preserve"> eura iz 202</w:t>
      </w:r>
      <w:r w:rsidR="00403C4F">
        <w:rPr>
          <w:rFonts w:ascii="Times New Roman" w:hAnsi="Times New Roman" w:cs="Times New Roman"/>
          <w:sz w:val="24"/>
          <w:szCs w:val="24"/>
        </w:rPr>
        <w:t>3</w:t>
      </w:r>
      <w:r w:rsidR="008B3BC5" w:rsidRPr="00D4566A">
        <w:rPr>
          <w:rFonts w:ascii="Times New Roman" w:hAnsi="Times New Roman" w:cs="Times New Roman"/>
          <w:sz w:val="24"/>
          <w:szCs w:val="24"/>
        </w:rPr>
        <w:t>. godine i planiranog viška prihoda i primitaka u 202</w:t>
      </w:r>
      <w:r w:rsidR="00403C4F">
        <w:rPr>
          <w:rFonts w:ascii="Times New Roman" w:hAnsi="Times New Roman" w:cs="Times New Roman"/>
          <w:sz w:val="24"/>
          <w:szCs w:val="24"/>
        </w:rPr>
        <w:t>4</w:t>
      </w:r>
      <w:r w:rsidR="008B3BC5" w:rsidRPr="00D4566A">
        <w:rPr>
          <w:rFonts w:ascii="Times New Roman" w:hAnsi="Times New Roman" w:cs="Times New Roman"/>
          <w:sz w:val="24"/>
          <w:szCs w:val="24"/>
        </w:rPr>
        <w:t xml:space="preserve">. godini u iznosu </w:t>
      </w:r>
      <w:r w:rsidR="00287A99">
        <w:rPr>
          <w:rFonts w:ascii="Times New Roman" w:hAnsi="Times New Roman" w:cs="Times New Roman"/>
          <w:sz w:val="24"/>
          <w:szCs w:val="24"/>
        </w:rPr>
        <w:t>2.660.146,00</w:t>
      </w:r>
      <w:r w:rsidR="008B3BC5" w:rsidRPr="00D4566A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195990" w:rsidRPr="00D4566A" w:rsidRDefault="00195990" w:rsidP="0075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990" w:rsidRPr="00D4566A" w:rsidRDefault="001946D5" w:rsidP="0075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U financijskom planu za 20</w:t>
      </w:r>
      <w:r w:rsidR="00403C4F">
        <w:rPr>
          <w:rFonts w:ascii="Times New Roman" w:hAnsi="Times New Roman" w:cs="Times New Roman"/>
          <w:sz w:val="24"/>
          <w:szCs w:val="24"/>
        </w:rPr>
        <w:t>24</w:t>
      </w:r>
      <w:r w:rsidRPr="00D4566A">
        <w:rPr>
          <w:rFonts w:ascii="Times New Roman" w:hAnsi="Times New Roman" w:cs="Times New Roman"/>
          <w:sz w:val="24"/>
          <w:szCs w:val="24"/>
        </w:rPr>
        <w:t>. godinu i projekcijama za 202</w:t>
      </w:r>
      <w:r w:rsidR="00403C4F">
        <w:rPr>
          <w:rFonts w:ascii="Times New Roman" w:hAnsi="Times New Roman" w:cs="Times New Roman"/>
          <w:sz w:val="24"/>
          <w:szCs w:val="24"/>
        </w:rPr>
        <w:t>5</w:t>
      </w:r>
      <w:r w:rsidRPr="00D4566A">
        <w:rPr>
          <w:rFonts w:ascii="Times New Roman" w:hAnsi="Times New Roman" w:cs="Times New Roman"/>
          <w:sz w:val="24"/>
          <w:szCs w:val="24"/>
        </w:rPr>
        <w:t>. i 202</w:t>
      </w:r>
      <w:r w:rsidR="00403C4F">
        <w:rPr>
          <w:rFonts w:ascii="Times New Roman" w:hAnsi="Times New Roman" w:cs="Times New Roman"/>
          <w:sz w:val="24"/>
          <w:szCs w:val="24"/>
        </w:rPr>
        <w:t>6</w:t>
      </w:r>
      <w:r w:rsidRPr="00D4566A">
        <w:rPr>
          <w:rFonts w:ascii="Times New Roman" w:hAnsi="Times New Roman" w:cs="Times New Roman"/>
          <w:sz w:val="24"/>
          <w:szCs w:val="24"/>
        </w:rPr>
        <w:t>. godinu planiralo se pokriće dijela projiciranog manjka prema sljedećoj dinamici:</w:t>
      </w:r>
    </w:p>
    <w:p w:rsidR="00110A68" w:rsidRPr="00D4566A" w:rsidRDefault="001946D5" w:rsidP="00110A68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202</w:t>
      </w:r>
      <w:r w:rsidR="00403C4F">
        <w:rPr>
          <w:rFonts w:ascii="Times New Roman" w:hAnsi="Times New Roman" w:cs="Times New Roman"/>
          <w:sz w:val="24"/>
          <w:szCs w:val="24"/>
        </w:rPr>
        <w:t>4</w:t>
      </w:r>
      <w:r w:rsidRPr="00D4566A">
        <w:rPr>
          <w:rFonts w:ascii="Times New Roman" w:hAnsi="Times New Roman" w:cs="Times New Roman"/>
          <w:sz w:val="24"/>
          <w:szCs w:val="24"/>
        </w:rPr>
        <w:t>. godine</w:t>
      </w:r>
      <w:r w:rsidR="00110A68" w:rsidRPr="00D4566A">
        <w:rPr>
          <w:rFonts w:ascii="Times New Roman" w:hAnsi="Times New Roman" w:cs="Times New Roman"/>
          <w:sz w:val="24"/>
          <w:szCs w:val="24"/>
        </w:rPr>
        <w:t xml:space="preserve"> – </w:t>
      </w:r>
      <w:r w:rsidR="00287A99">
        <w:rPr>
          <w:rFonts w:ascii="Times New Roman" w:hAnsi="Times New Roman" w:cs="Times New Roman"/>
          <w:sz w:val="24"/>
          <w:szCs w:val="24"/>
        </w:rPr>
        <w:t>2.660.146,00</w:t>
      </w:r>
      <w:r w:rsidR="00110A68" w:rsidRPr="00D4566A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1946D5" w:rsidRPr="00D4566A" w:rsidRDefault="001946D5" w:rsidP="00110A68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202</w:t>
      </w:r>
      <w:r w:rsidR="00403C4F">
        <w:rPr>
          <w:rFonts w:ascii="Times New Roman" w:hAnsi="Times New Roman" w:cs="Times New Roman"/>
          <w:sz w:val="24"/>
          <w:szCs w:val="24"/>
        </w:rPr>
        <w:t>5</w:t>
      </w:r>
      <w:r w:rsidRPr="00D4566A">
        <w:rPr>
          <w:rFonts w:ascii="Times New Roman" w:hAnsi="Times New Roman" w:cs="Times New Roman"/>
          <w:sz w:val="24"/>
          <w:szCs w:val="24"/>
        </w:rPr>
        <w:t xml:space="preserve">. godine – </w:t>
      </w:r>
      <w:r w:rsidR="00287A99">
        <w:rPr>
          <w:rFonts w:ascii="Times New Roman" w:hAnsi="Times New Roman" w:cs="Times New Roman"/>
          <w:sz w:val="24"/>
          <w:szCs w:val="24"/>
        </w:rPr>
        <w:t xml:space="preserve">3.866.648,00 </w:t>
      </w:r>
      <w:r w:rsidRPr="00D4566A">
        <w:rPr>
          <w:rFonts w:ascii="Times New Roman" w:hAnsi="Times New Roman" w:cs="Times New Roman"/>
          <w:sz w:val="24"/>
          <w:szCs w:val="24"/>
        </w:rPr>
        <w:t>eura</w:t>
      </w:r>
    </w:p>
    <w:p w:rsidR="001946D5" w:rsidRPr="00D4566A" w:rsidRDefault="001946D5" w:rsidP="00110A68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202</w:t>
      </w:r>
      <w:r w:rsidR="00403C4F">
        <w:rPr>
          <w:rFonts w:ascii="Times New Roman" w:hAnsi="Times New Roman" w:cs="Times New Roman"/>
          <w:sz w:val="24"/>
          <w:szCs w:val="24"/>
        </w:rPr>
        <w:t>6</w:t>
      </w:r>
      <w:r w:rsidRPr="00D4566A">
        <w:rPr>
          <w:rFonts w:ascii="Times New Roman" w:hAnsi="Times New Roman" w:cs="Times New Roman"/>
          <w:sz w:val="24"/>
          <w:szCs w:val="24"/>
        </w:rPr>
        <w:t xml:space="preserve">. godine – </w:t>
      </w:r>
      <w:r w:rsidR="00287A99">
        <w:rPr>
          <w:rFonts w:ascii="Times New Roman" w:hAnsi="Times New Roman" w:cs="Times New Roman"/>
          <w:sz w:val="24"/>
          <w:szCs w:val="24"/>
        </w:rPr>
        <w:t>3.336.114,00</w:t>
      </w:r>
      <w:r w:rsidRPr="00D4566A">
        <w:rPr>
          <w:rFonts w:ascii="Times New Roman" w:hAnsi="Times New Roman" w:cs="Times New Roman"/>
          <w:sz w:val="24"/>
          <w:szCs w:val="24"/>
        </w:rPr>
        <w:t xml:space="preserve"> eura </w:t>
      </w:r>
    </w:p>
    <w:p w:rsidR="001946D5" w:rsidRPr="00D4566A" w:rsidRDefault="001946D5" w:rsidP="0075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6D5" w:rsidRPr="00D4566A" w:rsidRDefault="001946D5" w:rsidP="0075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 xml:space="preserve">I </w:t>
      </w:r>
      <w:r w:rsidR="00110A68" w:rsidRPr="00D4566A">
        <w:rPr>
          <w:rFonts w:ascii="Times New Roman" w:hAnsi="Times New Roman" w:cs="Times New Roman"/>
          <w:sz w:val="24"/>
          <w:szCs w:val="24"/>
        </w:rPr>
        <w:t>Izmjenama i dopunama</w:t>
      </w:r>
      <w:r w:rsidRPr="00D4566A">
        <w:rPr>
          <w:rFonts w:ascii="Times New Roman" w:hAnsi="Times New Roman" w:cs="Times New Roman"/>
          <w:sz w:val="24"/>
          <w:szCs w:val="24"/>
        </w:rPr>
        <w:t xml:space="preserve"> Financijskog plana</w:t>
      </w:r>
      <w:r w:rsidR="00110A68" w:rsidRPr="00D4566A">
        <w:rPr>
          <w:rFonts w:ascii="Times New Roman" w:hAnsi="Times New Roman" w:cs="Times New Roman"/>
          <w:sz w:val="24"/>
          <w:szCs w:val="24"/>
        </w:rPr>
        <w:t xml:space="preserve"> za 202</w:t>
      </w:r>
      <w:r w:rsidR="00287A99">
        <w:rPr>
          <w:rFonts w:ascii="Times New Roman" w:hAnsi="Times New Roman" w:cs="Times New Roman"/>
          <w:sz w:val="24"/>
          <w:szCs w:val="24"/>
        </w:rPr>
        <w:t>4</w:t>
      </w:r>
      <w:r w:rsidR="00110A68" w:rsidRPr="00D4566A">
        <w:rPr>
          <w:rFonts w:ascii="Times New Roman" w:hAnsi="Times New Roman" w:cs="Times New Roman"/>
          <w:sz w:val="24"/>
          <w:szCs w:val="24"/>
        </w:rPr>
        <w:t>. godinu, a</w:t>
      </w:r>
      <w:r w:rsidRPr="00D4566A">
        <w:rPr>
          <w:rFonts w:ascii="Times New Roman" w:hAnsi="Times New Roman" w:cs="Times New Roman"/>
          <w:sz w:val="24"/>
          <w:szCs w:val="24"/>
        </w:rPr>
        <w:t xml:space="preserve"> prema Odluci </w:t>
      </w:r>
      <w:r w:rsidR="00110A68" w:rsidRPr="00D4566A">
        <w:rPr>
          <w:rFonts w:ascii="Times New Roman" w:hAnsi="Times New Roman" w:cs="Times New Roman"/>
          <w:sz w:val="24"/>
          <w:szCs w:val="24"/>
        </w:rPr>
        <w:t>U</w:t>
      </w:r>
      <w:r w:rsidRPr="00D4566A">
        <w:rPr>
          <w:rFonts w:ascii="Times New Roman" w:hAnsi="Times New Roman" w:cs="Times New Roman"/>
          <w:sz w:val="24"/>
          <w:szCs w:val="24"/>
        </w:rPr>
        <w:t>pravnog vijeća</w:t>
      </w:r>
      <w:r w:rsidR="00110A68" w:rsidRPr="00D4566A">
        <w:rPr>
          <w:rFonts w:ascii="Times New Roman" w:hAnsi="Times New Roman" w:cs="Times New Roman"/>
          <w:sz w:val="24"/>
          <w:szCs w:val="24"/>
        </w:rPr>
        <w:t xml:space="preserve">, broj: </w:t>
      </w:r>
      <w:r w:rsidR="00D916B2" w:rsidRPr="00D4566A">
        <w:rPr>
          <w:rFonts w:ascii="Times New Roman" w:hAnsi="Times New Roman" w:cs="Times New Roman"/>
          <w:sz w:val="24"/>
          <w:szCs w:val="24"/>
        </w:rPr>
        <w:t>01-</w:t>
      </w:r>
      <w:r w:rsidR="00287A99">
        <w:rPr>
          <w:rFonts w:ascii="Times New Roman" w:hAnsi="Times New Roman" w:cs="Times New Roman"/>
          <w:sz w:val="24"/>
          <w:szCs w:val="24"/>
        </w:rPr>
        <w:t>942/1-2024.</w:t>
      </w:r>
      <w:r w:rsidR="00D916B2" w:rsidRPr="00D4566A">
        <w:rPr>
          <w:rFonts w:ascii="Times New Roman" w:hAnsi="Times New Roman" w:cs="Times New Roman"/>
          <w:sz w:val="24"/>
          <w:szCs w:val="24"/>
        </w:rPr>
        <w:t>,</w:t>
      </w:r>
      <w:r w:rsidRPr="00D4566A">
        <w:rPr>
          <w:rFonts w:ascii="Times New Roman" w:hAnsi="Times New Roman" w:cs="Times New Roman"/>
          <w:sz w:val="24"/>
          <w:szCs w:val="24"/>
        </w:rPr>
        <w:t xml:space="preserve"> od </w:t>
      </w:r>
      <w:r w:rsidR="00287A99">
        <w:rPr>
          <w:rFonts w:ascii="Times New Roman" w:hAnsi="Times New Roman" w:cs="Times New Roman"/>
          <w:sz w:val="24"/>
          <w:szCs w:val="24"/>
        </w:rPr>
        <w:t>28.06.2024</w:t>
      </w:r>
      <w:r w:rsidRPr="00D4566A">
        <w:rPr>
          <w:rFonts w:ascii="Times New Roman" w:hAnsi="Times New Roman" w:cs="Times New Roman"/>
          <w:sz w:val="24"/>
          <w:szCs w:val="24"/>
        </w:rPr>
        <w:t>. godine planirano je pokriće manjka</w:t>
      </w:r>
      <w:r w:rsidR="00110A68" w:rsidRPr="00D4566A">
        <w:rPr>
          <w:rFonts w:ascii="Times New Roman" w:hAnsi="Times New Roman" w:cs="Times New Roman"/>
          <w:sz w:val="24"/>
          <w:szCs w:val="24"/>
        </w:rPr>
        <w:t xml:space="preserve"> u poslovnoj 202</w:t>
      </w:r>
      <w:r w:rsidR="00287A99">
        <w:rPr>
          <w:rFonts w:ascii="Times New Roman" w:hAnsi="Times New Roman" w:cs="Times New Roman"/>
          <w:sz w:val="24"/>
          <w:szCs w:val="24"/>
        </w:rPr>
        <w:t>4</w:t>
      </w:r>
      <w:r w:rsidR="00110A68" w:rsidRPr="00D4566A">
        <w:rPr>
          <w:rFonts w:ascii="Times New Roman" w:hAnsi="Times New Roman" w:cs="Times New Roman"/>
          <w:sz w:val="24"/>
          <w:szCs w:val="24"/>
        </w:rPr>
        <w:t>. godini</w:t>
      </w:r>
      <w:r w:rsidRPr="00D4566A">
        <w:rPr>
          <w:rFonts w:ascii="Times New Roman" w:hAnsi="Times New Roman" w:cs="Times New Roman"/>
          <w:sz w:val="24"/>
          <w:szCs w:val="24"/>
        </w:rPr>
        <w:t xml:space="preserve"> u iznosu </w:t>
      </w:r>
      <w:r w:rsidR="00287A99">
        <w:rPr>
          <w:rFonts w:ascii="Times New Roman" w:hAnsi="Times New Roman" w:cs="Times New Roman"/>
          <w:sz w:val="24"/>
          <w:szCs w:val="24"/>
        </w:rPr>
        <w:t>679.511,00</w:t>
      </w:r>
      <w:r w:rsidRPr="00D4566A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D916B2" w:rsidRPr="00D4566A" w:rsidRDefault="00110A68" w:rsidP="00287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Kod izrade Financijskog plana za 202</w:t>
      </w:r>
      <w:r w:rsidR="00287A99">
        <w:rPr>
          <w:rFonts w:ascii="Times New Roman" w:hAnsi="Times New Roman" w:cs="Times New Roman"/>
          <w:sz w:val="24"/>
          <w:szCs w:val="24"/>
        </w:rPr>
        <w:t>4</w:t>
      </w:r>
      <w:r w:rsidRPr="00D4566A">
        <w:rPr>
          <w:rFonts w:ascii="Times New Roman" w:hAnsi="Times New Roman" w:cs="Times New Roman"/>
          <w:sz w:val="24"/>
          <w:szCs w:val="24"/>
        </w:rPr>
        <w:t>., 202</w:t>
      </w:r>
      <w:r w:rsidR="00287A99">
        <w:rPr>
          <w:rFonts w:ascii="Times New Roman" w:hAnsi="Times New Roman" w:cs="Times New Roman"/>
          <w:sz w:val="24"/>
          <w:szCs w:val="24"/>
        </w:rPr>
        <w:t>5</w:t>
      </w:r>
      <w:r w:rsidRPr="00D4566A">
        <w:rPr>
          <w:rFonts w:ascii="Times New Roman" w:hAnsi="Times New Roman" w:cs="Times New Roman"/>
          <w:sz w:val="24"/>
          <w:szCs w:val="24"/>
        </w:rPr>
        <w:t>. i 202</w:t>
      </w:r>
      <w:r w:rsidR="00287A99">
        <w:rPr>
          <w:rFonts w:ascii="Times New Roman" w:hAnsi="Times New Roman" w:cs="Times New Roman"/>
          <w:sz w:val="24"/>
          <w:szCs w:val="24"/>
        </w:rPr>
        <w:t>6</w:t>
      </w:r>
      <w:r w:rsidRPr="00D4566A">
        <w:rPr>
          <w:rFonts w:ascii="Times New Roman" w:hAnsi="Times New Roman" w:cs="Times New Roman"/>
          <w:sz w:val="24"/>
          <w:szCs w:val="24"/>
        </w:rPr>
        <w:t>. godinu u mjesecu listopadu 202</w:t>
      </w:r>
      <w:r w:rsidR="00287A99">
        <w:rPr>
          <w:rFonts w:ascii="Times New Roman" w:hAnsi="Times New Roman" w:cs="Times New Roman"/>
          <w:sz w:val="24"/>
          <w:szCs w:val="24"/>
        </w:rPr>
        <w:t>3</w:t>
      </w:r>
      <w:r w:rsidRPr="00D4566A">
        <w:rPr>
          <w:rFonts w:ascii="Times New Roman" w:hAnsi="Times New Roman" w:cs="Times New Roman"/>
          <w:sz w:val="24"/>
          <w:szCs w:val="24"/>
        </w:rPr>
        <w:t>. godine nismo mo</w:t>
      </w:r>
      <w:r w:rsidR="00D916B2" w:rsidRPr="00D4566A">
        <w:rPr>
          <w:rFonts w:ascii="Times New Roman" w:hAnsi="Times New Roman" w:cs="Times New Roman"/>
          <w:sz w:val="24"/>
          <w:szCs w:val="24"/>
        </w:rPr>
        <w:t xml:space="preserve">gli projicirati </w:t>
      </w:r>
      <w:r w:rsidR="00287A99">
        <w:rPr>
          <w:rFonts w:ascii="Times New Roman" w:hAnsi="Times New Roman" w:cs="Times New Roman"/>
          <w:sz w:val="24"/>
          <w:szCs w:val="24"/>
        </w:rPr>
        <w:t>realno ostvarenje prihoda kao ni stvarnu realizaciju troškova</w:t>
      </w:r>
      <w:r w:rsidR="00D916B2" w:rsidRPr="00D4566A">
        <w:rPr>
          <w:rFonts w:ascii="Times New Roman" w:hAnsi="Times New Roman" w:cs="Times New Roman"/>
          <w:sz w:val="24"/>
          <w:szCs w:val="24"/>
        </w:rPr>
        <w:t>. Iz navedenog razloga isto je korigirano I (prvim) Izmjenama i dopunama na način da će u poslovnoj 202</w:t>
      </w:r>
      <w:r w:rsidR="00287A99">
        <w:rPr>
          <w:rFonts w:ascii="Times New Roman" w:hAnsi="Times New Roman" w:cs="Times New Roman"/>
          <w:sz w:val="24"/>
          <w:szCs w:val="24"/>
        </w:rPr>
        <w:t>4</w:t>
      </w:r>
      <w:r w:rsidR="00D916B2" w:rsidRPr="00D4566A">
        <w:rPr>
          <w:rFonts w:ascii="Times New Roman" w:hAnsi="Times New Roman" w:cs="Times New Roman"/>
          <w:sz w:val="24"/>
          <w:szCs w:val="24"/>
        </w:rPr>
        <w:t xml:space="preserve">. godini ukupno pokriće manjka iznositi </w:t>
      </w:r>
      <w:r w:rsidR="00287A99">
        <w:rPr>
          <w:rFonts w:ascii="Times New Roman" w:hAnsi="Times New Roman" w:cs="Times New Roman"/>
          <w:sz w:val="24"/>
          <w:szCs w:val="24"/>
        </w:rPr>
        <w:t>679.511,00</w:t>
      </w:r>
      <w:r w:rsidR="00D916B2" w:rsidRPr="00D4566A">
        <w:rPr>
          <w:rFonts w:ascii="Times New Roman" w:hAnsi="Times New Roman" w:cs="Times New Roman"/>
          <w:sz w:val="24"/>
          <w:szCs w:val="24"/>
        </w:rPr>
        <w:t xml:space="preserve"> eura i to iz </w:t>
      </w:r>
      <w:r w:rsidR="00287A99">
        <w:rPr>
          <w:rFonts w:ascii="Times New Roman" w:hAnsi="Times New Roman" w:cs="Times New Roman"/>
          <w:sz w:val="24"/>
          <w:szCs w:val="24"/>
        </w:rPr>
        <w:t>prihoda za posebne namjene</w:t>
      </w:r>
      <w:r w:rsidR="00D916B2" w:rsidRPr="00D4566A">
        <w:rPr>
          <w:rFonts w:ascii="Times New Roman" w:hAnsi="Times New Roman" w:cs="Times New Roman"/>
          <w:sz w:val="24"/>
          <w:szCs w:val="24"/>
        </w:rPr>
        <w:t>.</w:t>
      </w:r>
    </w:p>
    <w:p w:rsidR="001946D5" w:rsidRPr="00D4566A" w:rsidRDefault="001946D5" w:rsidP="0075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990" w:rsidRPr="00D4566A" w:rsidRDefault="001946D5" w:rsidP="0075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Budući da je u 202</w:t>
      </w:r>
      <w:r w:rsidR="00287A99">
        <w:rPr>
          <w:rFonts w:ascii="Times New Roman" w:hAnsi="Times New Roman" w:cs="Times New Roman"/>
          <w:sz w:val="24"/>
          <w:szCs w:val="24"/>
        </w:rPr>
        <w:t>4</w:t>
      </w:r>
      <w:r w:rsidRPr="00D4566A">
        <w:rPr>
          <w:rFonts w:ascii="Times New Roman" w:hAnsi="Times New Roman" w:cs="Times New Roman"/>
          <w:sz w:val="24"/>
          <w:szCs w:val="24"/>
        </w:rPr>
        <w:t xml:space="preserve">. godini ostvaren </w:t>
      </w:r>
      <w:r w:rsidR="00287A99">
        <w:rPr>
          <w:rFonts w:ascii="Times New Roman" w:hAnsi="Times New Roman" w:cs="Times New Roman"/>
          <w:sz w:val="24"/>
          <w:szCs w:val="24"/>
        </w:rPr>
        <w:t xml:space="preserve">manjak </w:t>
      </w:r>
      <w:r w:rsidRPr="00D4566A">
        <w:rPr>
          <w:rFonts w:ascii="Times New Roman" w:hAnsi="Times New Roman" w:cs="Times New Roman"/>
          <w:sz w:val="24"/>
          <w:szCs w:val="24"/>
        </w:rPr>
        <w:t xml:space="preserve">prihoda </w:t>
      </w:r>
      <w:r w:rsidR="00E16B1D" w:rsidRPr="00D4566A">
        <w:rPr>
          <w:rFonts w:ascii="Times New Roman" w:hAnsi="Times New Roman" w:cs="Times New Roman"/>
          <w:sz w:val="24"/>
          <w:szCs w:val="24"/>
        </w:rPr>
        <w:t xml:space="preserve">u iznosu </w:t>
      </w:r>
      <w:r w:rsidR="00171FD9">
        <w:rPr>
          <w:rFonts w:ascii="Times New Roman" w:hAnsi="Times New Roman" w:cs="Times New Roman"/>
          <w:sz w:val="24"/>
          <w:szCs w:val="24"/>
        </w:rPr>
        <w:t>703.858,75</w:t>
      </w:r>
      <w:r w:rsidRPr="00D4566A">
        <w:rPr>
          <w:rFonts w:ascii="Times New Roman" w:hAnsi="Times New Roman" w:cs="Times New Roman"/>
          <w:sz w:val="24"/>
          <w:szCs w:val="24"/>
        </w:rPr>
        <w:t xml:space="preserve"> eura</w:t>
      </w:r>
      <w:r w:rsidR="00E16B1D" w:rsidRPr="00D4566A">
        <w:rPr>
          <w:rFonts w:ascii="Times New Roman" w:hAnsi="Times New Roman" w:cs="Times New Roman"/>
          <w:sz w:val="24"/>
          <w:szCs w:val="24"/>
        </w:rPr>
        <w:t xml:space="preserve">, </w:t>
      </w:r>
      <w:r w:rsidR="00171FD9">
        <w:rPr>
          <w:rFonts w:ascii="Times New Roman" w:hAnsi="Times New Roman" w:cs="Times New Roman"/>
          <w:sz w:val="24"/>
          <w:szCs w:val="24"/>
        </w:rPr>
        <w:t xml:space="preserve">nisu </w:t>
      </w:r>
      <w:r w:rsidR="00E16B1D" w:rsidRPr="00D4566A">
        <w:rPr>
          <w:rFonts w:ascii="Times New Roman" w:hAnsi="Times New Roman" w:cs="Times New Roman"/>
          <w:sz w:val="24"/>
          <w:szCs w:val="24"/>
        </w:rPr>
        <w:t>ostvareni ciljevi prema Planu uravnoteženja – pokriću manjka iz prethodnih godina</w:t>
      </w:r>
      <w:r w:rsidR="00171FD9">
        <w:rPr>
          <w:rFonts w:ascii="Times New Roman" w:hAnsi="Times New Roman" w:cs="Times New Roman"/>
          <w:sz w:val="24"/>
          <w:szCs w:val="24"/>
        </w:rPr>
        <w:t>.</w:t>
      </w:r>
      <w:r w:rsidR="00E16B1D" w:rsidRPr="00D45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990" w:rsidRDefault="00195990" w:rsidP="00D45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0" w:type="dxa"/>
        <w:tblLook w:val="04A0" w:firstRow="1" w:lastRow="0" w:firstColumn="1" w:lastColumn="0" w:noHBand="0" w:noVBand="1"/>
      </w:tblPr>
      <w:tblGrid>
        <w:gridCol w:w="2540"/>
        <w:gridCol w:w="1996"/>
        <w:gridCol w:w="1701"/>
        <w:gridCol w:w="1701"/>
        <w:gridCol w:w="1985"/>
      </w:tblGrid>
      <w:tr w:rsidR="00054DF2" w:rsidRPr="00054DF2" w:rsidTr="00054DF2">
        <w:trPr>
          <w:trHeight w:val="2124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Opis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Procjena rezultata poslovne 2024. godine prema Odluci o višegodišnjem planu uravnoteženja, pokriću manjka iz prethodnih razdoblja prema predloženom Financijskom planu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Potvrđeni Financijski plan za poslovnu 2024. godinu s projekcijom za 2025. i 2026. godinu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Procjena rezultata poslovanja 2024. godine po I (prvim) Izmjenama i dopunama za 2024. godinu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Ostvareni rezultat na kraju 2024. godine - Izvršenje prihoda i rashoda, primitaka i izdataka</w:t>
            </w:r>
          </w:p>
        </w:tc>
      </w:tr>
      <w:tr w:rsidR="00054DF2" w:rsidRPr="00054DF2" w:rsidTr="00054DF2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F2" w:rsidRPr="00054DF2" w:rsidTr="00054DF2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 Račun prihoda i rashoda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F2" w:rsidRPr="00054DF2" w:rsidTr="00054DF2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26.861.337,00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26.861.337,00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45.924.574,00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27.783.782,23</w:t>
            </w:r>
          </w:p>
        </w:tc>
      </w:tr>
      <w:tr w:rsidR="00054DF2" w:rsidRPr="00054DF2" w:rsidTr="00054DF2">
        <w:trPr>
          <w:trHeight w:val="54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96,08</w:t>
            </w:r>
          </w:p>
        </w:tc>
      </w:tr>
      <w:tr w:rsidR="00054DF2" w:rsidRPr="00054DF2" w:rsidTr="00054DF2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PRIHODI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26.862.837,00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26.862.837,00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45.924.874,00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27.783.878,31</w:t>
            </w:r>
          </w:p>
        </w:tc>
      </w:tr>
      <w:tr w:rsidR="00054DF2" w:rsidRPr="00054DF2" w:rsidTr="00054DF2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</w:t>
            </w: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.231,00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21.527.231,00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26.425.956,00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25.409.592,06</w:t>
            </w:r>
          </w:p>
        </w:tc>
      </w:tr>
      <w:tr w:rsidR="00054DF2" w:rsidRPr="00054DF2" w:rsidTr="00054DF2">
        <w:trPr>
          <w:trHeight w:val="54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1.893.611,00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1.893.611,00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17.537.558,00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1.745.341,68</w:t>
            </w:r>
          </w:p>
        </w:tc>
      </w:tr>
      <w:tr w:rsidR="00054DF2" w:rsidRPr="00054DF2" w:rsidTr="00054DF2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.842,00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23.420.842,00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43.963.514,00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27.154.933,74</w:t>
            </w:r>
          </w:p>
        </w:tc>
      </w:tr>
      <w:tr w:rsidR="00054DF2" w:rsidRPr="00054DF2" w:rsidTr="00054DF2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Razlika prihoda/rashoda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3.441.995,00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3.441.995,00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1.961.360,00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628.944,57</w:t>
            </w:r>
          </w:p>
        </w:tc>
      </w:tr>
      <w:tr w:rsidR="00054DF2" w:rsidRPr="00054DF2" w:rsidTr="00054DF2">
        <w:trPr>
          <w:trHeight w:val="54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 Račun zaduživanja/financiranja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F2" w:rsidRPr="00054DF2" w:rsidTr="00054DF2">
        <w:trPr>
          <w:trHeight w:val="54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Primici od financijske imovine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498.586,14</w:t>
            </w:r>
          </w:p>
        </w:tc>
      </w:tr>
      <w:tr w:rsidR="00054DF2" w:rsidRPr="00054DF2" w:rsidTr="00054DF2">
        <w:trPr>
          <w:trHeight w:val="54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781.849,00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781.849,00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1.281.849,00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1.831.389,46</w:t>
            </w:r>
          </w:p>
        </w:tc>
      </w:tr>
      <w:tr w:rsidR="00054DF2" w:rsidRPr="00054DF2" w:rsidTr="00054DF2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 FIN. PLAN UKUPNO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54DF2" w:rsidRPr="00054DF2" w:rsidTr="00054DF2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i primici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26.862.837,00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26.862.837,00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45.924.874,00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28.282.464,45</w:t>
            </w:r>
          </w:p>
        </w:tc>
      </w:tr>
      <w:tr w:rsidR="00054DF2" w:rsidRPr="00054DF2" w:rsidTr="00054DF2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i izdaci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24.202.691,00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24.202.691,00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45.245.363,00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28.986.323,20</w:t>
            </w:r>
          </w:p>
        </w:tc>
      </w:tr>
      <w:tr w:rsidR="00054DF2" w:rsidRPr="00054DF2" w:rsidTr="00054DF2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Razlika višak/manjak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2.660.146,00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2.660.146,00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679.511,00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-703.858,75</w:t>
            </w:r>
          </w:p>
        </w:tc>
      </w:tr>
      <w:tr w:rsidR="00054DF2" w:rsidRPr="00054DF2" w:rsidTr="00054DF2">
        <w:trPr>
          <w:trHeight w:val="492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Preneseni rezultat poslovanja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-9.862.908,00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-9.862.908,00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-12.309.406,00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-12.447.601,47</w:t>
            </w:r>
          </w:p>
        </w:tc>
      </w:tr>
      <w:tr w:rsidR="00054DF2" w:rsidRPr="00054DF2" w:rsidTr="00054DF2">
        <w:trPr>
          <w:trHeight w:val="408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054DF2" w:rsidRPr="00054DF2" w:rsidTr="00054DF2">
        <w:trPr>
          <w:trHeight w:val="804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Korigirani rezultat poslovanja za pokriće u slijedećim godinama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-7.202.762,00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-7.202.762,00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-11.629.895,00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DF2" w:rsidRPr="00054DF2" w:rsidRDefault="00054DF2" w:rsidP="00054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-13.151.460,22</w:t>
            </w:r>
          </w:p>
        </w:tc>
      </w:tr>
    </w:tbl>
    <w:p w:rsidR="00D4566A" w:rsidRDefault="00D4566A" w:rsidP="0063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42B" w:rsidRPr="00C729BA" w:rsidRDefault="0060242B" w:rsidP="00634E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66A">
        <w:rPr>
          <w:rFonts w:ascii="Times New Roman" w:hAnsi="Times New Roman" w:cs="Times New Roman"/>
          <w:b/>
          <w:sz w:val="24"/>
          <w:szCs w:val="24"/>
        </w:rPr>
        <w:t>Obrazloženje:</w:t>
      </w:r>
    </w:p>
    <w:p w:rsidR="0060242B" w:rsidRPr="00D4566A" w:rsidRDefault="007970E3" w:rsidP="0063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>U odnosu na planirana sredstva temeljem Odluke o višegodišnjem planu uravnoteženja, mjerama za otklanjanje uzroka negativnog poslovanja s akcijskim planom provedbe mjera za 202</w:t>
      </w:r>
      <w:r w:rsidR="001B5633">
        <w:rPr>
          <w:rFonts w:ascii="Times New Roman" w:hAnsi="Times New Roman" w:cs="Times New Roman"/>
          <w:sz w:val="24"/>
          <w:szCs w:val="24"/>
        </w:rPr>
        <w:t>4</w:t>
      </w:r>
      <w:r w:rsidRPr="00D4566A">
        <w:rPr>
          <w:rFonts w:ascii="Times New Roman" w:hAnsi="Times New Roman" w:cs="Times New Roman"/>
          <w:sz w:val="24"/>
          <w:szCs w:val="24"/>
        </w:rPr>
        <w:t>., 202</w:t>
      </w:r>
      <w:r w:rsidR="001B5633">
        <w:rPr>
          <w:rFonts w:ascii="Times New Roman" w:hAnsi="Times New Roman" w:cs="Times New Roman"/>
          <w:sz w:val="24"/>
          <w:szCs w:val="24"/>
        </w:rPr>
        <w:t>5.</w:t>
      </w:r>
      <w:r w:rsidRPr="00D4566A">
        <w:rPr>
          <w:rFonts w:ascii="Times New Roman" w:hAnsi="Times New Roman" w:cs="Times New Roman"/>
          <w:sz w:val="24"/>
          <w:szCs w:val="24"/>
        </w:rPr>
        <w:t xml:space="preserve"> i 202</w:t>
      </w:r>
      <w:r w:rsidR="001B5633">
        <w:rPr>
          <w:rFonts w:ascii="Times New Roman" w:hAnsi="Times New Roman" w:cs="Times New Roman"/>
          <w:sz w:val="24"/>
          <w:szCs w:val="24"/>
        </w:rPr>
        <w:t>6</w:t>
      </w:r>
      <w:r w:rsidRPr="00D4566A">
        <w:rPr>
          <w:rFonts w:ascii="Times New Roman" w:hAnsi="Times New Roman" w:cs="Times New Roman"/>
          <w:sz w:val="24"/>
          <w:szCs w:val="24"/>
        </w:rPr>
        <w:t xml:space="preserve">. godinu ostvareno je više prihoda i primitaka za </w:t>
      </w:r>
      <w:r w:rsidR="001B5633">
        <w:rPr>
          <w:rFonts w:ascii="Times New Roman" w:hAnsi="Times New Roman" w:cs="Times New Roman"/>
          <w:sz w:val="24"/>
          <w:szCs w:val="24"/>
        </w:rPr>
        <w:t>5,28</w:t>
      </w:r>
      <w:r w:rsidRPr="00D4566A">
        <w:rPr>
          <w:rFonts w:ascii="Times New Roman" w:hAnsi="Times New Roman" w:cs="Times New Roman"/>
          <w:sz w:val="24"/>
          <w:szCs w:val="24"/>
        </w:rPr>
        <w:t xml:space="preserve">% ili za </w:t>
      </w:r>
      <w:r w:rsidR="001B5633">
        <w:rPr>
          <w:rFonts w:ascii="Times New Roman" w:hAnsi="Times New Roman" w:cs="Times New Roman"/>
          <w:sz w:val="24"/>
          <w:szCs w:val="24"/>
        </w:rPr>
        <w:t>1.419.627,45</w:t>
      </w:r>
      <w:r w:rsidRPr="00D4566A">
        <w:rPr>
          <w:rFonts w:ascii="Times New Roman" w:hAnsi="Times New Roman" w:cs="Times New Roman"/>
          <w:sz w:val="24"/>
          <w:szCs w:val="24"/>
        </w:rPr>
        <w:t xml:space="preserve"> eura, a rashodi i izdaci veći su za </w:t>
      </w:r>
      <w:r w:rsidR="001B5633">
        <w:rPr>
          <w:rFonts w:ascii="Times New Roman" w:hAnsi="Times New Roman" w:cs="Times New Roman"/>
          <w:sz w:val="24"/>
          <w:szCs w:val="24"/>
        </w:rPr>
        <w:t>19,76</w:t>
      </w:r>
      <w:r w:rsidRPr="00D4566A">
        <w:rPr>
          <w:rFonts w:ascii="Times New Roman" w:hAnsi="Times New Roman" w:cs="Times New Roman"/>
          <w:sz w:val="24"/>
          <w:szCs w:val="24"/>
        </w:rPr>
        <w:t xml:space="preserve">% ili za </w:t>
      </w:r>
      <w:r w:rsidR="001B5633">
        <w:rPr>
          <w:rFonts w:ascii="Times New Roman" w:hAnsi="Times New Roman" w:cs="Times New Roman"/>
          <w:sz w:val="24"/>
          <w:szCs w:val="24"/>
        </w:rPr>
        <w:t>4.783.632,20</w:t>
      </w:r>
      <w:r w:rsidRPr="00D4566A">
        <w:rPr>
          <w:rFonts w:ascii="Times New Roman" w:hAnsi="Times New Roman" w:cs="Times New Roman"/>
          <w:sz w:val="24"/>
          <w:szCs w:val="24"/>
        </w:rPr>
        <w:t xml:space="preserve"> eura. </w:t>
      </w:r>
      <w:r w:rsidR="008F7C9F" w:rsidRPr="00D4566A">
        <w:rPr>
          <w:rFonts w:ascii="Times New Roman" w:hAnsi="Times New Roman" w:cs="Times New Roman"/>
          <w:sz w:val="24"/>
          <w:szCs w:val="24"/>
        </w:rPr>
        <w:t xml:space="preserve">Ostvareni rezultat poslovanja na kraju proračunske godine </w:t>
      </w:r>
      <w:r w:rsidR="001B5633">
        <w:rPr>
          <w:rFonts w:ascii="Times New Roman" w:hAnsi="Times New Roman" w:cs="Times New Roman"/>
          <w:sz w:val="24"/>
          <w:szCs w:val="24"/>
        </w:rPr>
        <w:t xml:space="preserve">je manjak u iznosu 703.858,75 eura, dok je </w:t>
      </w:r>
      <w:r w:rsidR="008F7C9F" w:rsidRPr="00D4566A">
        <w:rPr>
          <w:rFonts w:ascii="Times New Roman" w:hAnsi="Times New Roman" w:cs="Times New Roman"/>
          <w:sz w:val="24"/>
          <w:szCs w:val="24"/>
        </w:rPr>
        <w:t xml:space="preserve">planirani rezultat </w:t>
      </w:r>
      <w:r w:rsidR="001B5633">
        <w:rPr>
          <w:rFonts w:ascii="Times New Roman" w:hAnsi="Times New Roman" w:cs="Times New Roman"/>
          <w:sz w:val="24"/>
          <w:szCs w:val="24"/>
        </w:rPr>
        <w:t>trebao biti pozitivan u iznosu 2.660.146,00 eura</w:t>
      </w:r>
      <w:r w:rsidR="008F7C9F" w:rsidRPr="00D4566A">
        <w:rPr>
          <w:rFonts w:ascii="Times New Roman" w:hAnsi="Times New Roman" w:cs="Times New Roman"/>
          <w:sz w:val="24"/>
          <w:szCs w:val="24"/>
        </w:rPr>
        <w:t>.</w:t>
      </w:r>
    </w:p>
    <w:p w:rsidR="00E47D0B" w:rsidRPr="00E47D0B" w:rsidRDefault="008F7C9F" w:rsidP="00E47D0B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566A">
        <w:rPr>
          <w:rFonts w:ascii="Times New Roman" w:hAnsi="Times New Roman" w:cs="Times New Roman"/>
          <w:sz w:val="24"/>
          <w:szCs w:val="24"/>
        </w:rPr>
        <w:t xml:space="preserve">Preneseni manjak prihoda veći je za </w:t>
      </w:r>
      <w:r w:rsidR="001B5633">
        <w:rPr>
          <w:rFonts w:ascii="Times New Roman" w:hAnsi="Times New Roman" w:cs="Times New Roman"/>
          <w:sz w:val="24"/>
          <w:szCs w:val="24"/>
        </w:rPr>
        <w:t>21,26% ili za 2.584.693,47</w:t>
      </w:r>
      <w:r w:rsidRPr="00D4566A">
        <w:rPr>
          <w:rFonts w:ascii="Times New Roman" w:hAnsi="Times New Roman" w:cs="Times New Roman"/>
          <w:sz w:val="24"/>
          <w:szCs w:val="24"/>
        </w:rPr>
        <w:t xml:space="preserve"> eura u odnosu na planirana sredstva</w:t>
      </w:r>
      <w:r w:rsidR="001B5633">
        <w:rPr>
          <w:rFonts w:ascii="Times New Roman" w:hAnsi="Times New Roman" w:cs="Times New Roman"/>
          <w:sz w:val="24"/>
          <w:szCs w:val="24"/>
        </w:rPr>
        <w:t xml:space="preserve">. </w:t>
      </w:r>
      <w:r w:rsidRPr="00D4566A">
        <w:rPr>
          <w:rFonts w:ascii="Times New Roman" w:hAnsi="Times New Roman" w:cs="Times New Roman"/>
          <w:sz w:val="24"/>
          <w:szCs w:val="24"/>
        </w:rPr>
        <w:t xml:space="preserve"> </w:t>
      </w:r>
      <w:r w:rsidR="00E47D0B" w:rsidRPr="00E47D0B">
        <w:rPr>
          <w:rFonts w:ascii="Times New Roman" w:eastAsia="Calibri" w:hAnsi="Times New Roman" w:cs="Times New Roman"/>
          <w:sz w:val="24"/>
          <w:szCs w:val="24"/>
        </w:rPr>
        <w:t xml:space="preserve">Ovo povećanje prvenstveno je posljedica rasta koeficijenata za sva radna mjesta, s primjenom od </w:t>
      </w:r>
      <w:r w:rsidR="00E47D0B" w:rsidRPr="00E47D0B">
        <w:rPr>
          <w:rFonts w:ascii="Times New Roman" w:eastAsia="Calibri" w:hAnsi="Times New Roman" w:cs="Times New Roman"/>
          <w:bCs/>
          <w:sz w:val="24"/>
          <w:szCs w:val="24"/>
        </w:rPr>
        <w:t>1. ožujka 2024. godine</w:t>
      </w:r>
      <w:r w:rsidR="00E47D0B" w:rsidRPr="00E47D0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E47D0B" w:rsidRPr="00E47D0B">
        <w:rPr>
          <w:rFonts w:ascii="Times New Roman" w:eastAsia="Calibri" w:hAnsi="Times New Roman" w:cs="Times New Roman"/>
          <w:sz w:val="24"/>
          <w:szCs w:val="24"/>
        </w:rPr>
        <w:t xml:space="preserve"> kao i promjena u broju i strukturi zaposlenih. Važno je napomenuti da limitirana sredstva ne prate rast plaća u punom iznosu. Dok su limitirana sredstva za </w:t>
      </w:r>
      <w:r w:rsidR="00E47D0B" w:rsidRPr="00E47D0B">
        <w:rPr>
          <w:rFonts w:ascii="Times New Roman" w:eastAsia="Calibri" w:hAnsi="Times New Roman" w:cs="Times New Roman"/>
          <w:bCs/>
          <w:sz w:val="24"/>
          <w:szCs w:val="24"/>
        </w:rPr>
        <w:t>2024. godinu</w:t>
      </w:r>
      <w:r w:rsidR="00E47D0B" w:rsidRPr="00E47D0B">
        <w:rPr>
          <w:rFonts w:ascii="Times New Roman" w:eastAsia="Calibri" w:hAnsi="Times New Roman" w:cs="Times New Roman"/>
          <w:sz w:val="24"/>
          <w:szCs w:val="24"/>
        </w:rPr>
        <w:t xml:space="preserve"> porasla za ukupno </w:t>
      </w:r>
      <w:r w:rsidR="00E47D0B" w:rsidRPr="00E47D0B">
        <w:rPr>
          <w:rFonts w:ascii="Times New Roman" w:eastAsia="Calibri" w:hAnsi="Times New Roman" w:cs="Times New Roman"/>
          <w:bCs/>
          <w:sz w:val="24"/>
          <w:szCs w:val="24"/>
        </w:rPr>
        <w:t>24,66%</w:t>
      </w:r>
      <w:r w:rsidR="00E47D0B" w:rsidRPr="00E47D0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E47D0B" w:rsidRPr="00E47D0B">
        <w:rPr>
          <w:rFonts w:ascii="Times New Roman" w:eastAsia="Calibri" w:hAnsi="Times New Roman" w:cs="Times New Roman"/>
          <w:sz w:val="24"/>
          <w:szCs w:val="24"/>
        </w:rPr>
        <w:t xml:space="preserve"> plaće su povećane za </w:t>
      </w:r>
      <w:r w:rsidR="00E47D0B" w:rsidRPr="00E47D0B">
        <w:rPr>
          <w:rFonts w:ascii="Times New Roman" w:eastAsia="Calibri" w:hAnsi="Times New Roman" w:cs="Times New Roman"/>
          <w:bCs/>
          <w:sz w:val="24"/>
          <w:szCs w:val="24"/>
        </w:rPr>
        <w:t>36%</w:t>
      </w:r>
      <w:r w:rsidR="00E47D0B" w:rsidRPr="00E47D0B">
        <w:rPr>
          <w:rFonts w:ascii="Times New Roman" w:eastAsia="Calibri" w:hAnsi="Times New Roman" w:cs="Times New Roman"/>
          <w:sz w:val="24"/>
          <w:szCs w:val="24"/>
        </w:rPr>
        <w:t>. Razliku do punog iznosa bolnica je osigurala iz vlastitih sredstava</w:t>
      </w:r>
      <w:r w:rsidR="00E47D0B">
        <w:rPr>
          <w:rFonts w:ascii="Times New Roman" w:eastAsia="Calibri" w:hAnsi="Times New Roman" w:cs="Times New Roman"/>
          <w:sz w:val="24"/>
          <w:szCs w:val="24"/>
        </w:rPr>
        <w:t xml:space="preserve">. Iz navedenog razloga nije ostvaren planirani rezultat poslovanja. </w:t>
      </w:r>
      <w:r w:rsidR="00E47D0B" w:rsidRPr="00E47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Najznačajniji rast </w:t>
      </w:r>
      <w:r w:rsidR="00E47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rashoda </w:t>
      </w:r>
      <w:r w:rsidR="00E47D0B" w:rsidRPr="00E47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zabilježen je u rashodima za zaposlene, što je prvenstveno rezultat povećanja koeficijenata za sva radna mjesta, s primjenom od 1. ožujka 2024. godine, kao i promjena u broju i strukturi zaposlenih. </w:t>
      </w:r>
      <w:r w:rsidR="00E47D0B" w:rsidRPr="00E47D0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Važno je naglasiti da limitirana sredstva ne prate rast plaća u cijelosti. Dok su limitirana sredstva za 2024. godinu porasla za ukupno 25 %, rashodi za plaće povećani su za 36 %. Razliku do punog iznosa bolnica je osigurala iz vlastitih prihoda</w:t>
      </w:r>
      <w:r w:rsidR="00E47D0B">
        <w:rPr>
          <w:rFonts w:ascii="Times New Roman" w:eastAsia="Times New Roman" w:hAnsi="Times New Roman" w:cs="Times New Roman"/>
          <w:sz w:val="24"/>
          <w:szCs w:val="24"/>
          <w:lang w:eastAsia="hr-HR"/>
        </w:rPr>
        <w:t>, no iz istih je morala smanjiti plaćanje drugih obveza</w:t>
      </w:r>
      <w:r w:rsidR="00E47D0B" w:rsidRPr="00E47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Međutim, činjenica je da limitirana sredstva nisu dostatna za podmirenje svih obveza prema zaposlenima, što dodatno otežava financijsko poslovanje. Kako bi se nadoknadila razlika i osiguralo pokriće ostalih obveza, ključan izvor financiranja </w:t>
      </w:r>
      <w:r w:rsidR="00E47D0B">
        <w:rPr>
          <w:rFonts w:ascii="Times New Roman" w:eastAsia="Times New Roman" w:hAnsi="Times New Roman" w:cs="Times New Roman"/>
          <w:sz w:val="24"/>
          <w:szCs w:val="24"/>
          <w:lang w:eastAsia="hr-HR"/>
        </w:rPr>
        <w:t>su bili tržišni prihodi</w:t>
      </w:r>
      <w:r w:rsidR="00E47D0B" w:rsidRPr="00E47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Iako su tržišni prihodi u 2024. godini rasli na svim razinama, oni još uvijek nisu dovoljni za potpuno pokriće svih obveza na razini bolnice. Dodatni izazov predstavlja kontinuirani rast cijena energenata, prehrambenih proizvoda i medicinskog materijala, što dodatno opterećuje poslovanje i negativno utječe na likvidnost.     </w:t>
      </w:r>
    </w:p>
    <w:p w:rsidR="00E47D0B" w:rsidRPr="00E47D0B" w:rsidRDefault="00E47D0B" w:rsidP="00C729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D0B">
        <w:rPr>
          <w:rFonts w:ascii="Times New Roman" w:eastAsia="Calibri" w:hAnsi="Times New Roman" w:cs="Times New Roman"/>
          <w:sz w:val="24"/>
          <w:szCs w:val="24"/>
        </w:rPr>
        <w:t>Trenutna situacija uvelike utječe na likvidnost bolnice, s obzirom na to da troškovi rastu brže od prihoda. Iako bolnica redovito izvršava svoje obveze, pritisak na financijsku stabilnost postaje sve izraženiji. Dugoročno gledano, nužno je osigurati dodatne izvore financiranja i prilagoditi model financiranja zdravstvenih ustanova kako bi se osigurala održivost poslovanja.</w:t>
      </w:r>
    </w:p>
    <w:p w:rsidR="00E47D0B" w:rsidRPr="00E47D0B" w:rsidRDefault="00E47D0B" w:rsidP="00E47D0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E47D0B" w:rsidRPr="00E47D0B" w:rsidSect="00D71B1C">
          <w:pgSz w:w="11906" w:h="16838" w:code="9"/>
          <w:pgMar w:top="992" w:right="851" w:bottom="709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Također, bitno je napomenuti da zbog nerealne priznate  cijene usluga od strane HZZO-a bolnica nije izvršavala svoje obveze u ugovorenom iznosu  limita, sredstva su kroz godinu doznačivana u 100% iznosu, ali su prihodi priznati u visini stvarno izvršenih usluga. Ostalo se evidentira na obvezi za manje izvršen rad prema HZZO-u. Također, do kraja poslovne godine Vlada Republike Hrvatske nije donijela odluku o otpisu obveza za neizvršen rad tijekom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pandemijskih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godina ili pronašla neki drugi model kako bi isto mogli iskazati na prihodovnoj strani.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4566A">
        <w:rPr>
          <w:rFonts w:ascii="Times New Roman" w:hAnsi="Times New Roman" w:cs="Times New Roman"/>
          <w:sz w:val="24"/>
          <w:szCs w:val="24"/>
        </w:rPr>
        <w:t>ez dodatne pomoći Varaždinske županije, HZZO-a, Ministarstva zdravstva, Bolnica nije u mogućnosti samostalno podmiriti preneseni man</w:t>
      </w:r>
      <w:r>
        <w:rPr>
          <w:rFonts w:ascii="Times New Roman" w:hAnsi="Times New Roman" w:cs="Times New Roman"/>
          <w:sz w:val="24"/>
          <w:szCs w:val="24"/>
        </w:rPr>
        <w:t>jak prihoda iz prethodnih godi</w:t>
      </w:r>
      <w:r w:rsidR="001B0888">
        <w:rPr>
          <w:rFonts w:ascii="Times New Roman" w:hAnsi="Times New Roman" w:cs="Times New Roman"/>
          <w:sz w:val="24"/>
          <w:szCs w:val="24"/>
        </w:rPr>
        <w:t>na.</w:t>
      </w:r>
      <w:bookmarkStart w:id="0" w:name="_GoBack"/>
      <w:bookmarkEnd w:id="0"/>
    </w:p>
    <w:p w:rsidR="00634E37" w:rsidRPr="00D4566A" w:rsidRDefault="00247A29" w:rsidP="00247A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4566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Mjere </w:t>
      </w:r>
      <w:r w:rsidR="00330F55" w:rsidRPr="00D4566A">
        <w:rPr>
          <w:rFonts w:ascii="Times New Roman" w:hAnsi="Times New Roman" w:cs="Times New Roman"/>
          <w:b/>
          <w:i/>
          <w:sz w:val="24"/>
          <w:szCs w:val="24"/>
        </w:rPr>
        <w:t>za otklanjanje utvrđenih uzroka nastanka negativnog poslovanja:</w:t>
      </w:r>
    </w:p>
    <w:p w:rsidR="00330F55" w:rsidRPr="00D4566A" w:rsidRDefault="00330F55" w:rsidP="00247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F55" w:rsidRPr="00C729BA" w:rsidRDefault="00330F55" w:rsidP="00C729BA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9BA">
        <w:rPr>
          <w:rFonts w:ascii="Times New Roman" w:hAnsi="Times New Roman" w:cs="Times New Roman"/>
          <w:sz w:val="24"/>
          <w:szCs w:val="24"/>
        </w:rPr>
        <w:t>Financijskim planom i izmjenama i dopunama planirati pokriće manjka;</w:t>
      </w:r>
    </w:p>
    <w:p w:rsidR="00330F55" w:rsidRPr="00C729BA" w:rsidRDefault="00330F55" w:rsidP="00C729BA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9BA">
        <w:rPr>
          <w:rFonts w:ascii="Times New Roman" w:hAnsi="Times New Roman" w:cs="Times New Roman"/>
          <w:sz w:val="24"/>
          <w:szCs w:val="24"/>
        </w:rPr>
        <w:t>Kod planiranja i izvršavanja Financijskog plana prioritet imaju zakonske i ugovorne obveze;</w:t>
      </w:r>
    </w:p>
    <w:p w:rsidR="00330F55" w:rsidRPr="00C729BA" w:rsidRDefault="00330F55" w:rsidP="00C729BA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9BA">
        <w:rPr>
          <w:rFonts w:ascii="Times New Roman" w:hAnsi="Times New Roman" w:cs="Times New Roman"/>
          <w:sz w:val="24"/>
          <w:szCs w:val="24"/>
        </w:rPr>
        <w:t>Kontinuirano praćenje naplate prihoda i preuzimanje obveza u skladu s njihovim ostvarenjem;</w:t>
      </w:r>
    </w:p>
    <w:p w:rsidR="00330F55" w:rsidRPr="00C729BA" w:rsidRDefault="00330F55" w:rsidP="00C729BA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9BA">
        <w:rPr>
          <w:rFonts w:ascii="Times New Roman" w:hAnsi="Times New Roman" w:cs="Times New Roman"/>
          <w:sz w:val="24"/>
          <w:szCs w:val="24"/>
        </w:rPr>
        <w:t>Povećanje financiranja proračunskih projekata i aktivnosti iz tekućih i kapitalnih pomoći prijavom projekata na natječaje europskih i drugih fondova;</w:t>
      </w:r>
    </w:p>
    <w:p w:rsidR="00330F55" w:rsidRPr="00C729BA" w:rsidRDefault="00330F55" w:rsidP="00C729BA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9BA">
        <w:rPr>
          <w:rFonts w:ascii="Times New Roman" w:hAnsi="Times New Roman" w:cs="Times New Roman"/>
          <w:sz w:val="24"/>
          <w:szCs w:val="24"/>
        </w:rPr>
        <w:t>Smanjenje materijalnih rashoda uz zadržavanje kvalitete rada i pružanja usluga našim korisnicima;</w:t>
      </w:r>
    </w:p>
    <w:p w:rsidR="00330F55" w:rsidRPr="00C729BA" w:rsidRDefault="00330F55" w:rsidP="00C729BA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9BA">
        <w:rPr>
          <w:rFonts w:ascii="Times New Roman" w:hAnsi="Times New Roman" w:cs="Times New Roman"/>
          <w:sz w:val="24"/>
          <w:szCs w:val="24"/>
        </w:rPr>
        <w:t xml:space="preserve">Poboljšavanje </w:t>
      </w:r>
      <w:r w:rsidR="00C729BA" w:rsidRPr="00C729BA">
        <w:rPr>
          <w:rFonts w:ascii="Times New Roman" w:hAnsi="Times New Roman" w:cs="Times New Roman"/>
          <w:sz w:val="24"/>
          <w:szCs w:val="24"/>
        </w:rPr>
        <w:t>uvjeta za daljnji rast i razvoj</w:t>
      </w:r>
      <w:r w:rsidR="00C729BA">
        <w:rPr>
          <w:rFonts w:ascii="Times New Roman" w:hAnsi="Times New Roman" w:cs="Times New Roman"/>
          <w:sz w:val="24"/>
          <w:szCs w:val="24"/>
        </w:rPr>
        <w:t>;</w:t>
      </w:r>
    </w:p>
    <w:p w:rsidR="00C729BA" w:rsidRPr="00C729BA" w:rsidRDefault="00C729BA" w:rsidP="00C729B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729BA">
        <w:rPr>
          <w:rFonts w:ascii="Times New Roman" w:hAnsi="Times New Roman" w:cs="Times New Roman"/>
          <w:sz w:val="24"/>
          <w:szCs w:val="24"/>
        </w:rPr>
        <w:t xml:space="preserve">astavak uspostavljanja adekvatnih uvjeta rada ( zdravstveni prostor i oprema ) te povećanje sigurnosti na radu, a s ciljem smanjenje stope bolovanja do 42 dana na teret poslodavca i troška </w:t>
      </w:r>
      <w:r>
        <w:rPr>
          <w:rFonts w:ascii="Times New Roman" w:hAnsi="Times New Roman" w:cs="Times New Roman"/>
          <w:sz w:val="24"/>
          <w:szCs w:val="24"/>
        </w:rPr>
        <w:t>zamjenskih zdravstvenih radnika;</w:t>
      </w:r>
    </w:p>
    <w:p w:rsidR="00C729BA" w:rsidRPr="00C729BA" w:rsidRDefault="00C729BA" w:rsidP="00C729B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729BA">
        <w:rPr>
          <w:rFonts w:ascii="Times New Roman" w:hAnsi="Times New Roman" w:cs="Times New Roman"/>
          <w:sz w:val="24"/>
          <w:szCs w:val="24"/>
        </w:rPr>
        <w:t>astavak organiziranja racionalnog i funkcionalnog mjesečnog rasporeda rada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72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9BA" w:rsidRPr="00C729BA" w:rsidRDefault="00C729BA" w:rsidP="00C729B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729BA">
        <w:rPr>
          <w:rFonts w:ascii="Times New Roman" w:hAnsi="Times New Roman" w:cs="Times New Roman"/>
          <w:sz w:val="24"/>
          <w:szCs w:val="24"/>
        </w:rPr>
        <w:t>ovećanje broja e-termina naručivanja za specijalističko-konzilijarnu zdravstvenu zaštitu usklađeno s e- ponudom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29BA" w:rsidRPr="00C729BA" w:rsidRDefault="00C729BA" w:rsidP="00C729B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729BA">
        <w:rPr>
          <w:rFonts w:ascii="Times New Roman" w:hAnsi="Times New Roman" w:cs="Times New Roman"/>
          <w:sz w:val="24"/>
          <w:szCs w:val="24"/>
        </w:rPr>
        <w:t>nalitički pristup sudskim sporovima s prijedlogom načina racionalizacije troškova;</w:t>
      </w:r>
    </w:p>
    <w:p w:rsidR="00C729BA" w:rsidRPr="00C729BA" w:rsidRDefault="00C729BA" w:rsidP="00C729B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729BA">
        <w:rPr>
          <w:rFonts w:ascii="Times New Roman" w:hAnsi="Times New Roman" w:cs="Times New Roman"/>
          <w:sz w:val="24"/>
          <w:szCs w:val="24"/>
        </w:rPr>
        <w:t>stvarivanje bespovratnih sredstva iz EU fondova i drugih zakonom predviđenih izvora financiranja izvan redovnog poslovanja i županijskog proračuna;</w:t>
      </w:r>
    </w:p>
    <w:p w:rsidR="00C729BA" w:rsidRPr="00C729BA" w:rsidRDefault="00C729BA" w:rsidP="00C729BA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729BA">
        <w:rPr>
          <w:rFonts w:ascii="Times New Roman" w:hAnsi="Times New Roman" w:cs="Times New Roman"/>
          <w:sz w:val="24"/>
          <w:szCs w:val="24"/>
        </w:rPr>
        <w:t>aljnji pregovori s dobavljačima s ciljem postizanja sporazuma na ime otpisa kamata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29BA" w:rsidRPr="00C729BA" w:rsidRDefault="00C729BA" w:rsidP="00C729BA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729BA">
        <w:rPr>
          <w:rFonts w:ascii="Times New Roman" w:hAnsi="Times New Roman" w:cs="Times New Roman"/>
          <w:sz w:val="24"/>
          <w:szCs w:val="24"/>
        </w:rPr>
        <w:t>aljnje poduzimanje mjera ostvarivanja ušteda na ime energetske učinkovitosti i obnovljivih izvora energije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29BA" w:rsidRPr="00C729BA" w:rsidRDefault="00C729BA" w:rsidP="00C729BA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729BA">
        <w:rPr>
          <w:rFonts w:ascii="Times New Roman" w:hAnsi="Times New Roman" w:cs="Times New Roman"/>
          <w:sz w:val="24"/>
          <w:szCs w:val="24"/>
        </w:rPr>
        <w:t xml:space="preserve">astavak poduzimanja mjera </w:t>
      </w:r>
      <w:proofErr w:type="spellStart"/>
      <w:r w:rsidRPr="00C729BA">
        <w:rPr>
          <w:rFonts w:ascii="Times New Roman" w:hAnsi="Times New Roman" w:cs="Times New Roman"/>
          <w:sz w:val="24"/>
          <w:szCs w:val="24"/>
        </w:rPr>
        <w:t>samoodrživosti</w:t>
      </w:r>
      <w:proofErr w:type="spellEnd"/>
      <w:r w:rsidRPr="00C729BA">
        <w:rPr>
          <w:rFonts w:ascii="Times New Roman" w:hAnsi="Times New Roman" w:cs="Times New Roman"/>
          <w:sz w:val="24"/>
          <w:szCs w:val="24"/>
        </w:rPr>
        <w:t xml:space="preserve"> pratećih djelatnosti bolnice s ciljem smanjenja troškova poslovanja istih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29BA" w:rsidRPr="00C729BA" w:rsidRDefault="00C729BA" w:rsidP="00C729BA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729BA">
        <w:rPr>
          <w:rFonts w:ascii="Times New Roman" w:hAnsi="Times New Roman" w:cs="Times New Roman"/>
          <w:sz w:val="24"/>
          <w:szCs w:val="24"/>
        </w:rPr>
        <w:t>astavak senzibiliziranja javnosti o potrebi participiranja u radu bolnice donacijom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29BA" w:rsidRPr="00C729BA" w:rsidRDefault="00C729BA" w:rsidP="00C729BA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C729BA" w:rsidRPr="00C729BA">
          <w:pgSz w:w="11906" w:h="16838"/>
          <w:pgMar w:top="1134" w:right="1134" w:bottom="1134" w:left="1134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729BA">
        <w:rPr>
          <w:rFonts w:ascii="Times New Roman" w:hAnsi="Times New Roman" w:cs="Times New Roman"/>
          <w:sz w:val="24"/>
          <w:szCs w:val="24"/>
        </w:rPr>
        <w:t xml:space="preserve">efiniranje broja zaposlenih po radnim mjestima u Pravilniku o unutarnjem ustroju </w:t>
      </w:r>
      <w:r>
        <w:rPr>
          <w:rFonts w:ascii="Times New Roman" w:hAnsi="Times New Roman" w:cs="Times New Roman"/>
          <w:sz w:val="24"/>
          <w:szCs w:val="24"/>
        </w:rPr>
        <w:t>i sistematizaciji radnih mjesta.</w:t>
      </w:r>
    </w:p>
    <w:p w:rsidR="00247A29" w:rsidRPr="00D4566A" w:rsidRDefault="00330F55" w:rsidP="00247A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4566A">
        <w:rPr>
          <w:rFonts w:ascii="Times New Roman" w:hAnsi="Times New Roman" w:cs="Times New Roman"/>
          <w:b/>
          <w:i/>
          <w:sz w:val="24"/>
          <w:szCs w:val="24"/>
        </w:rPr>
        <w:lastRenderedPageBreak/>
        <w:t>Provedba mjera za otklanjanje uzroka negativnog poslovanja:</w:t>
      </w:r>
    </w:p>
    <w:p w:rsidR="00330F55" w:rsidRPr="00D4566A" w:rsidRDefault="00330F55" w:rsidP="00247A2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2082"/>
        <w:gridCol w:w="2171"/>
        <w:gridCol w:w="1984"/>
        <w:gridCol w:w="1843"/>
        <w:gridCol w:w="1559"/>
      </w:tblGrid>
      <w:tr w:rsidR="00247A29" w:rsidRPr="00D4566A" w:rsidTr="00D60FAD">
        <w:tc>
          <w:tcPr>
            <w:tcW w:w="2082" w:type="dxa"/>
            <w:shd w:val="clear" w:color="auto" w:fill="EAF1DD"/>
          </w:tcPr>
          <w:p w:rsidR="00247A29" w:rsidRPr="00D4566A" w:rsidRDefault="00247A29" w:rsidP="00D60F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NAZIV MJERE</w:t>
            </w:r>
          </w:p>
        </w:tc>
        <w:tc>
          <w:tcPr>
            <w:tcW w:w="2171" w:type="dxa"/>
            <w:shd w:val="clear" w:color="auto" w:fill="EAF1DD"/>
          </w:tcPr>
          <w:p w:rsidR="00247A29" w:rsidRPr="00D4566A" w:rsidRDefault="00247A29" w:rsidP="00D60F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OPIS/NAČIN PROVEDBE</w:t>
            </w:r>
          </w:p>
        </w:tc>
        <w:tc>
          <w:tcPr>
            <w:tcW w:w="1984" w:type="dxa"/>
            <w:shd w:val="clear" w:color="auto" w:fill="EAF1DD"/>
          </w:tcPr>
          <w:p w:rsidR="00247A29" w:rsidRPr="00D4566A" w:rsidRDefault="00247A29" w:rsidP="00D60F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ROK PROVEDBE</w:t>
            </w:r>
          </w:p>
        </w:tc>
        <w:tc>
          <w:tcPr>
            <w:tcW w:w="1843" w:type="dxa"/>
            <w:shd w:val="clear" w:color="auto" w:fill="EAF1DD"/>
          </w:tcPr>
          <w:p w:rsidR="00247A29" w:rsidRPr="00D4566A" w:rsidRDefault="00247A29" w:rsidP="00D60F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OČEKIVANI UČINAK</w:t>
            </w:r>
          </w:p>
        </w:tc>
        <w:tc>
          <w:tcPr>
            <w:tcW w:w="1559" w:type="dxa"/>
            <w:shd w:val="clear" w:color="auto" w:fill="EAF1DD"/>
          </w:tcPr>
          <w:p w:rsidR="00247A29" w:rsidRPr="00D4566A" w:rsidRDefault="00247A29" w:rsidP="00D60F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FAZA PROVEDBE</w:t>
            </w:r>
          </w:p>
        </w:tc>
      </w:tr>
      <w:tr w:rsidR="00247A29" w:rsidRPr="00D4566A" w:rsidTr="00D60FAD">
        <w:tc>
          <w:tcPr>
            <w:tcW w:w="2082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1. Odlukom o donošenju Financijskog plana te izmjenama i dopunama planirati pokriće manjka</w:t>
            </w:r>
          </w:p>
          <w:p w:rsidR="00247A29" w:rsidRPr="00D4566A" w:rsidRDefault="00247A29" w:rsidP="00D60FAD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Financijski plan  koji uključuje rezultat poslovanja pruža cjelovit financijski okvir za donošenje odluka o budućoj potrošnji i izvorima financiranja. </w:t>
            </w:r>
          </w:p>
        </w:tc>
        <w:tc>
          <w:tcPr>
            <w:tcW w:w="1984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Zakonski rokovi, a prema potrebi prilikom izmjena i dopuna Financijskog plana u narednom razdoblju</w:t>
            </w:r>
          </w:p>
        </w:tc>
        <w:tc>
          <w:tcPr>
            <w:tcW w:w="1843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Smanjenje troškova poslovanja</w:t>
            </w:r>
          </w:p>
        </w:tc>
        <w:tc>
          <w:tcPr>
            <w:tcW w:w="1559" w:type="dxa"/>
            <w:vAlign w:val="center"/>
          </w:tcPr>
          <w:p w:rsidR="00247A29" w:rsidRPr="00D4566A" w:rsidRDefault="00F7274B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Cilj ostvaren</w:t>
            </w:r>
          </w:p>
        </w:tc>
      </w:tr>
      <w:tr w:rsidR="00247A29" w:rsidRPr="00D4566A" w:rsidTr="00D60FAD">
        <w:trPr>
          <w:trHeight w:val="1334"/>
        </w:trPr>
        <w:tc>
          <w:tcPr>
            <w:tcW w:w="2082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2. Kod planiranja i izvršavanja Financijskog plana prioritet imaju zakonske i ugovorne obveze</w:t>
            </w:r>
          </w:p>
        </w:tc>
        <w:tc>
          <w:tcPr>
            <w:tcW w:w="2171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Mjera podrazumijeva prioritetno podmirivanje već preuzetih obveza, odnosno zakonskih obveza.</w:t>
            </w:r>
          </w:p>
        </w:tc>
        <w:tc>
          <w:tcPr>
            <w:tcW w:w="1984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1843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Pravovremeno izvršavanje obveza</w:t>
            </w:r>
          </w:p>
        </w:tc>
        <w:tc>
          <w:tcPr>
            <w:tcW w:w="1559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Podmirene </w:t>
            </w:r>
            <w:r w:rsidR="00330F55"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su </w:t>
            </w: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zakonske obveze</w:t>
            </w:r>
          </w:p>
        </w:tc>
      </w:tr>
      <w:tr w:rsidR="00247A29" w:rsidRPr="00D4566A" w:rsidTr="00D60FAD">
        <w:trPr>
          <w:trHeight w:val="1779"/>
        </w:trPr>
        <w:tc>
          <w:tcPr>
            <w:tcW w:w="2082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3. Kontinuirano praćenje naplate prihoda i preuzimanje obveza u skladu s njihovim ostvarenjem</w:t>
            </w:r>
          </w:p>
        </w:tc>
        <w:tc>
          <w:tcPr>
            <w:tcW w:w="2171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Mjera uključuje preuzimanje obveza u skladu s dinamikom ostvarenja izvora financiranja kako je definirano u Financijskom planu. Izrada kvartalnih izvještaja o realizaciji plana.</w:t>
            </w:r>
          </w:p>
        </w:tc>
        <w:tc>
          <w:tcPr>
            <w:tcW w:w="1984" w:type="dxa"/>
            <w:vAlign w:val="center"/>
          </w:tcPr>
          <w:p w:rsidR="00F7274B" w:rsidRPr="00D4566A" w:rsidRDefault="00F7274B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Mjesečno</w:t>
            </w:r>
          </w:p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Kvartalno</w:t>
            </w:r>
          </w:p>
        </w:tc>
        <w:tc>
          <w:tcPr>
            <w:tcW w:w="1843" w:type="dxa"/>
            <w:vAlign w:val="center"/>
          </w:tcPr>
          <w:p w:rsidR="00247A29" w:rsidRPr="00D4566A" w:rsidRDefault="00247A29" w:rsidP="00F727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Utjecaj na ročnost </w:t>
            </w:r>
          </w:p>
        </w:tc>
        <w:tc>
          <w:tcPr>
            <w:tcW w:w="1559" w:type="dxa"/>
            <w:vAlign w:val="center"/>
          </w:tcPr>
          <w:p w:rsidR="00F7274B" w:rsidRPr="00D4566A" w:rsidRDefault="00F7274B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Mjesečno se vodi briga o naplati prihoda,</w:t>
            </w:r>
          </w:p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Izrađuju se kvartalna izvješća o realizaciji plana</w:t>
            </w:r>
          </w:p>
        </w:tc>
      </w:tr>
      <w:tr w:rsidR="00247A29" w:rsidRPr="00D4566A" w:rsidTr="00D60FAD">
        <w:trPr>
          <w:trHeight w:val="686"/>
        </w:trPr>
        <w:tc>
          <w:tcPr>
            <w:tcW w:w="2082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4. Pravovremeno poduzimanje mjera naplate potraživanja</w:t>
            </w:r>
          </w:p>
        </w:tc>
        <w:tc>
          <w:tcPr>
            <w:tcW w:w="2171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Postupanje prema Proceduri za naplatu prihoda.</w:t>
            </w:r>
          </w:p>
        </w:tc>
        <w:tc>
          <w:tcPr>
            <w:tcW w:w="1984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1843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Povećanje naplaćenih prihoda</w:t>
            </w:r>
            <w:r w:rsidR="00F7274B"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, manje ovršnih postupaka</w:t>
            </w:r>
          </w:p>
        </w:tc>
        <w:tc>
          <w:tcPr>
            <w:tcW w:w="1559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Kontinuirano se provode mjere naplate prihoda</w:t>
            </w:r>
          </w:p>
        </w:tc>
      </w:tr>
      <w:tr w:rsidR="00247A29" w:rsidRPr="00D4566A" w:rsidTr="00D60FAD">
        <w:tc>
          <w:tcPr>
            <w:tcW w:w="2082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5. Povećanje financiranja proračunskih projekata i aktivnosti iz tekućih i kapitalnih pomoći prijavom projekata na natječaje europskih i drugih fondova</w:t>
            </w:r>
          </w:p>
        </w:tc>
        <w:tc>
          <w:tcPr>
            <w:tcW w:w="2171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Mjera uključuje oslobađanje sredstava iz izvora Opći prihodi i primici  i financiranje što više aktivnosti i projekata iz drugih izvora (nacionalni i međunarodni natječaji)</w:t>
            </w:r>
          </w:p>
        </w:tc>
        <w:tc>
          <w:tcPr>
            <w:tcW w:w="1984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1843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Povećanje kvalitete boravka pacijenata te povećanje kvalitete uvjeta rada zaposlenika</w:t>
            </w:r>
          </w:p>
        </w:tc>
        <w:tc>
          <w:tcPr>
            <w:tcW w:w="1559" w:type="dxa"/>
            <w:vAlign w:val="center"/>
          </w:tcPr>
          <w:p w:rsidR="00247A29" w:rsidRPr="00D4566A" w:rsidRDefault="00F7274B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Prate se svi pozivi za prijavu na natječaje, prijava se vrši na sve pozive</w:t>
            </w:r>
          </w:p>
        </w:tc>
      </w:tr>
      <w:tr w:rsidR="00247A29" w:rsidRPr="00D4566A" w:rsidTr="00D60FAD">
        <w:trPr>
          <w:trHeight w:val="848"/>
        </w:trPr>
        <w:tc>
          <w:tcPr>
            <w:tcW w:w="2082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6. Upravljanje nekretninama  u vlasništvu Bolnice</w:t>
            </w:r>
          </w:p>
        </w:tc>
        <w:tc>
          <w:tcPr>
            <w:tcW w:w="2171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Učinkovito raspolaganje nekretninama (zakup, najam, prodaja)</w:t>
            </w:r>
          </w:p>
        </w:tc>
        <w:tc>
          <w:tcPr>
            <w:tcW w:w="1984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1843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Povećanje prihoda</w:t>
            </w:r>
          </w:p>
        </w:tc>
        <w:tc>
          <w:tcPr>
            <w:tcW w:w="1559" w:type="dxa"/>
            <w:vAlign w:val="center"/>
          </w:tcPr>
          <w:p w:rsidR="00247A29" w:rsidRPr="00D4566A" w:rsidRDefault="00F7274B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Iznalaze se rješenja/sredstva za stavljanje istih u punu fu</w:t>
            </w:r>
            <w:r w:rsidR="00051CA4"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kciju</w:t>
            </w:r>
          </w:p>
        </w:tc>
      </w:tr>
      <w:tr w:rsidR="00247A29" w:rsidRPr="00D4566A" w:rsidTr="00D60FAD">
        <w:tc>
          <w:tcPr>
            <w:tcW w:w="2082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7. Smanjenje materijalnih rashoda uz zadržavanje kvalitete rada i pružanja usluga građanima</w:t>
            </w:r>
          </w:p>
        </w:tc>
        <w:tc>
          <w:tcPr>
            <w:tcW w:w="2171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Maksimalna racionalizacija materijalnih rashoda</w:t>
            </w:r>
          </w:p>
        </w:tc>
        <w:tc>
          <w:tcPr>
            <w:tcW w:w="1984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1843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Smanjenje troškova poslovanja</w:t>
            </w:r>
          </w:p>
        </w:tc>
        <w:tc>
          <w:tcPr>
            <w:tcW w:w="1559" w:type="dxa"/>
            <w:vAlign w:val="center"/>
          </w:tcPr>
          <w:p w:rsidR="00247A29" w:rsidRPr="00D4566A" w:rsidRDefault="00247A29" w:rsidP="00D60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6A">
              <w:rPr>
                <w:rFonts w:ascii="Times New Roman" w:eastAsia="Calibri" w:hAnsi="Times New Roman" w:cs="Times New Roman"/>
                <w:sz w:val="20"/>
                <w:szCs w:val="20"/>
              </w:rPr>
              <w:t>Bolnica provodi maksimalnu racionalizaciju materijalnih rashoda.</w:t>
            </w:r>
          </w:p>
        </w:tc>
      </w:tr>
    </w:tbl>
    <w:p w:rsidR="00247A29" w:rsidRPr="00D4566A" w:rsidRDefault="00247A29" w:rsidP="00247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5939" w:rsidRPr="00D4566A" w:rsidRDefault="001E5939" w:rsidP="00247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CA4" w:rsidRPr="00D4566A" w:rsidRDefault="00051CA4" w:rsidP="00247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CA4" w:rsidRDefault="00051CA4" w:rsidP="00247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66A" w:rsidRPr="00D4566A" w:rsidRDefault="00D4566A" w:rsidP="00247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CA4" w:rsidRPr="00D4566A" w:rsidRDefault="001E5939" w:rsidP="00F7274B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lastRenderedPageBreak/>
        <w:t xml:space="preserve">Specijalna bolnica za medicinsku rehabilitaciju </w:t>
      </w:r>
      <w:r w:rsidR="00051CA4" w:rsidRPr="00D4566A">
        <w:rPr>
          <w:rFonts w:ascii="Times New Roman" w:hAnsi="Times New Roman" w:cs="Times New Roman"/>
          <w:sz w:val="24"/>
          <w:szCs w:val="24"/>
        </w:rPr>
        <w:t xml:space="preserve">Varaždinske Toplice </w:t>
      </w:r>
      <w:r w:rsidRPr="00D4566A">
        <w:rPr>
          <w:rFonts w:ascii="Times New Roman" w:hAnsi="Times New Roman" w:cs="Times New Roman"/>
          <w:sz w:val="24"/>
          <w:szCs w:val="24"/>
        </w:rPr>
        <w:t xml:space="preserve">kontinuirano provodi racionalizaciju poslovanja </w:t>
      </w:r>
      <w:r w:rsidR="00C729BA">
        <w:rPr>
          <w:rFonts w:ascii="Times New Roman" w:hAnsi="Times New Roman" w:cs="Times New Roman"/>
          <w:sz w:val="24"/>
          <w:szCs w:val="24"/>
        </w:rPr>
        <w:t>vodeći posebnu pažnju o nastanku troškova, no činjenica je da vanjski utjecaji imaju najveći značaj na stvaranje istih</w:t>
      </w:r>
      <w:r w:rsidR="00051CA4" w:rsidRPr="00D456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5939" w:rsidRPr="00D4566A" w:rsidRDefault="00051CA4" w:rsidP="00F7274B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hAnsi="Times New Roman" w:cs="Times New Roman"/>
          <w:sz w:val="24"/>
          <w:szCs w:val="24"/>
        </w:rPr>
        <w:t xml:space="preserve">Međutim, bitno je istaknuti da uz maksimalni angažman na svim radilištima, </w:t>
      </w:r>
      <w:r w:rsidR="001E5939" w:rsidRPr="00D4566A">
        <w:rPr>
          <w:rFonts w:ascii="Times New Roman" w:hAnsi="Times New Roman" w:cs="Times New Roman"/>
          <w:sz w:val="24"/>
          <w:szCs w:val="24"/>
        </w:rPr>
        <w:t xml:space="preserve">bez </w:t>
      </w:r>
      <w:r w:rsidRPr="00D4566A">
        <w:rPr>
          <w:rFonts w:ascii="Times New Roman" w:hAnsi="Times New Roman" w:cs="Times New Roman"/>
          <w:sz w:val="24"/>
          <w:szCs w:val="24"/>
        </w:rPr>
        <w:t xml:space="preserve">dodatne </w:t>
      </w:r>
      <w:r w:rsidR="001E5939" w:rsidRPr="00D4566A">
        <w:rPr>
          <w:rFonts w:ascii="Times New Roman" w:hAnsi="Times New Roman" w:cs="Times New Roman"/>
          <w:sz w:val="24"/>
          <w:szCs w:val="24"/>
        </w:rPr>
        <w:t xml:space="preserve">pomoći Varaždinske županije, HZZO-a, Ministarstva zdravstva, Bolnica nije u mogućnosti </w:t>
      </w:r>
      <w:r w:rsidRPr="00D4566A">
        <w:rPr>
          <w:rFonts w:ascii="Times New Roman" w:hAnsi="Times New Roman" w:cs="Times New Roman"/>
          <w:sz w:val="24"/>
          <w:szCs w:val="24"/>
        </w:rPr>
        <w:t xml:space="preserve">samostalno podmiriti preneseni manjak prihoda iz prethodnih godina. Evidentirani, preneseni manjak prihoda nastao je najvećim dijelom zbog neizvršenja ugovorenih limitiranih sredstava, a na čije je neostvarenje utjecala </w:t>
      </w:r>
      <w:proofErr w:type="spellStart"/>
      <w:r w:rsidRPr="00D4566A">
        <w:rPr>
          <w:rFonts w:ascii="Times New Roman" w:hAnsi="Times New Roman" w:cs="Times New Roman"/>
          <w:sz w:val="24"/>
          <w:szCs w:val="24"/>
        </w:rPr>
        <w:t>pandemija</w:t>
      </w:r>
      <w:proofErr w:type="spellEnd"/>
      <w:r w:rsidRPr="00D4566A">
        <w:rPr>
          <w:rFonts w:ascii="Times New Roman" w:hAnsi="Times New Roman" w:cs="Times New Roman"/>
          <w:sz w:val="24"/>
          <w:szCs w:val="24"/>
        </w:rPr>
        <w:t xml:space="preserve"> COVID – 19.</w:t>
      </w:r>
      <w:r w:rsidR="001E5939" w:rsidRPr="00D45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66A" w:rsidRPr="00D4566A" w:rsidRDefault="00D4566A" w:rsidP="00F7274B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D4566A" w:rsidRPr="00D4566A" w:rsidRDefault="00D4566A" w:rsidP="00C729BA">
      <w:pPr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66A">
        <w:rPr>
          <w:rFonts w:ascii="Times New Roman" w:eastAsia="Calibri" w:hAnsi="Times New Roman" w:cs="Times New Roman"/>
          <w:sz w:val="24"/>
          <w:szCs w:val="24"/>
        </w:rPr>
        <w:t>Ravnatelj predlaže usvojiti  Godišnji izvještaj o provedbi višegodišnjeg plana uravnoteženja Specijalne bolnice za medicinsku rehabilitaciju Varaždinske Toplice za 202</w:t>
      </w:r>
      <w:r w:rsidR="00C729BA">
        <w:rPr>
          <w:rFonts w:ascii="Times New Roman" w:eastAsia="Calibri" w:hAnsi="Times New Roman" w:cs="Times New Roman"/>
          <w:sz w:val="24"/>
          <w:szCs w:val="24"/>
        </w:rPr>
        <w:t>4</w:t>
      </w:r>
      <w:r w:rsidRPr="00D4566A">
        <w:rPr>
          <w:rFonts w:ascii="Times New Roman" w:eastAsia="Calibri" w:hAnsi="Times New Roman" w:cs="Times New Roman"/>
          <w:sz w:val="24"/>
          <w:szCs w:val="24"/>
        </w:rPr>
        <w:t>. godinu</w:t>
      </w:r>
      <w:r w:rsidRPr="00D456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kako je to predloženo u gornjem tekstu i obrazloženju. </w:t>
      </w:r>
    </w:p>
    <w:p w:rsidR="00D4566A" w:rsidRPr="00D4566A" w:rsidRDefault="00D4566A" w:rsidP="00D45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56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Upravno vijeće je prihvatilo prijedlog ravnatelja i isto usvojilo. </w:t>
      </w:r>
    </w:p>
    <w:p w:rsidR="00D4566A" w:rsidRPr="00D4566A" w:rsidRDefault="00D4566A" w:rsidP="00F7274B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051CA4" w:rsidRPr="00D4566A" w:rsidRDefault="00051CA4" w:rsidP="00F7274B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D4566A" w:rsidRPr="00D4566A" w:rsidRDefault="00D4566A" w:rsidP="00D4566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456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 Upravnog vijeća</w:t>
      </w:r>
    </w:p>
    <w:p w:rsidR="00D4566A" w:rsidRPr="00D4566A" w:rsidRDefault="00D4566A" w:rsidP="00D456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D456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</w:t>
      </w:r>
      <w:r w:rsidRPr="00D456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mr. </w:t>
      </w:r>
      <w:proofErr w:type="spellStart"/>
      <w:r w:rsidRPr="00D456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sc</w:t>
      </w:r>
      <w:proofErr w:type="spellEnd"/>
      <w:r w:rsidRPr="00D456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 Alen </w:t>
      </w:r>
      <w:proofErr w:type="spellStart"/>
      <w:r w:rsidRPr="00D456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Runac</w:t>
      </w:r>
      <w:proofErr w:type="spellEnd"/>
    </w:p>
    <w:p w:rsidR="00051CA4" w:rsidRDefault="00051CA4" w:rsidP="00F7274B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729BA" w:rsidRDefault="00C729BA" w:rsidP="00F7274B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729BA" w:rsidRPr="00D4566A" w:rsidRDefault="00C729BA" w:rsidP="00F7274B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051CA4" w:rsidRPr="00051CA4" w:rsidRDefault="00051CA4" w:rsidP="00051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051CA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Dostaviti:</w:t>
      </w:r>
    </w:p>
    <w:p w:rsidR="00051CA4" w:rsidRPr="00051CA4" w:rsidRDefault="00051CA4" w:rsidP="00051CA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51CA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Ravnatelju </w:t>
      </w:r>
    </w:p>
    <w:p w:rsidR="00051CA4" w:rsidRPr="00051CA4" w:rsidRDefault="00051CA4" w:rsidP="00051CA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51CA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Varaždinskoj županiji</w:t>
      </w:r>
    </w:p>
    <w:p w:rsidR="00051CA4" w:rsidRPr="00051CA4" w:rsidRDefault="00051CA4" w:rsidP="00051CA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51CA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Odjelu ekonomsko-financijskih poslova</w:t>
      </w:r>
    </w:p>
    <w:p w:rsidR="00051CA4" w:rsidRPr="00051CA4" w:rsidRDefault="00051CA4" w:rsidP="00051CA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51CA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Odjelu općih, pravnih i kadrovskih poslova</w:t>
      </w:r>
    </w:p>
    <w:p w:rsidR="00051CA4" w:rsidRPr="00D4566A" w:rsidRDefault="00051CA4" w:rsidP="00051CA4">
      <w:pPr>
        <w:pStyle w:val="Odlomakpopisa"/>
        <w:numPr>
          <w:ilvl w:val="0"/>
          <w:numId w:val="5"/>
        </w:num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4566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Pismohrana         </w:t>
      </w:r>
    </w:p>
    <w:sectPr w:rsidR="00051CA4" w:rsidRPr="00D45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B088F"/>
    <w:multiLevelType w:val="hybridMultilevel"/>
    <w:tmpl w:val="0158E360"/>
    <w:lvl w:ilvl="0" w:tplc="6D525152">
      <w:start w:val="4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32B31"/>
    <w:multiLevelType w:val="hybridMultilevel"/>
    <w:tmpl w:val="D7325C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15C89"/>
    <w:multiLevelType w:val="hybridMultilevel"/>
    <w:tmpl w:val="CBA053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44EED"/>
    <w:multiLevelType w:val="hybridMultilevel"/>
    <w:tmpl w:val="2312B1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73471"/>
    <w:multiLevelType w:val="hybridMultilevel"/>
    <w:tmpl w:val="59383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01ED6"/>
    <w:multiLevelType w:val="hybridMultilevel"/>
    <w:tmpl w:val="B8B0B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AC"/>
    <w:rsid w:val="00051CA4"/>
    <w:rsid w:val="00054DF2"/>
    <w:rsid w:val="00075944"/>
    <w:rsid w:val="000B354F"/>
    <w:rsid w:val="00110A68"/>
    <w:rsid w:val="00171FD9"/>
    <w:rsid w:val="001757EE"/>
    <w:rsid w:val="001946D5"/>
    <w:rsid w:val="00195990"/>
    <w:rsid w:val="001B0888"/>
    <w:rsid w:val="001B5633"/>
    <w:rsid w:val="001E5939"/>
    <w:rsid w:val="00247A29"/>
    <w:rsid w:val="00287A99"/>
    <w:rsid w:val="00326A7D"/>
    <w:rsid w:val="00330F55"/>
    <w:rsid w:val="00372AF5"/>
    <w:rsid w:val="003913AC"/>
    <w:rsid w:val="00403C4F"/>
    <w:rsid w:val="00456A30"/>
    <w:rsid w:val="00537969"/>
    <w:rsid w:val="005C0981"/>
    <w:rsid w:val="0060242B"/>
    <w:rsid w:val="00634E37"/>
    <w:rsid w:val="00750B4F"/>
    <w:rsid w:val="007970E3"/>
    <w:rsid w:val="007A1461"/>
    <w:rsid w:val="007D7F3E"/>
    <w:rsid w:val="007F5C18"/>
    <w:rsid w:val="008B3BC5"/>
    <w:rsid w:val="008F1E19"/>
    <w:rsid w:val="008F7C9F"/>
    <w:rsid w:val="00B71EA6"/>
    <w:rsid w:val="00BC6967"/>
    <w:rsid w:val="00C729BA"/>
    <w:rsid w:val="00CD2B34"/>
    <w:rsid w:val="00D4566A"/>
    <w:rsid w:val="00D916B2"/>
    <w:rsid w:val="00E16B1D"/>
    <w:rsid w:val="00E47D0B"/>
    <w:rsid w:val="00F42C64"/>
    <w:rsid w:val="00F7274B"/>
    <w:rsid w:val="00F90489"/>
    <w:rsid w:val="00FA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67A82-68E2-4E1F-8FAB-3A8CCE19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146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247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30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6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Horvat</dc:creator>
  <cp:keywords/>
  <dc:description/>
  <cp:lastModifiedBy>Spomenka Sakač</cp:lastModifiedBy>
  <cp:revision>18</cp:revision>
  <cp:lastPrinted>2025-03-25T10:48:00Z</cp:lastPrinted>
  <dcterms:created xsi:type="dcterms:W3CDTF">2024-03-22T10:18:00Z</dcterms:created>
  <dcterms:modified xsi:type="dcterms:W3CDTF">2025-03-26T10:32:00Z</dcterms:modified>
</cp:coreProperties>
</file>