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CED2" w14:textId="2AA832FC" w:rsidR="000E146C" w:rsidRPr="000E146C" w:rsidRDefault="000E146C" w:rsidP="000E146C">
      <w:pPr>
        <w:pStyle w:val="Bezproreda"/>
        <w:rPr>
          <w:b/>
        </w:rPr>
      </w:pPr>
      <w:r w:rsidRPr="000E146C">
        <w:rPr>
          <w:b/>
        </w:rPr>
        <w:t xml:space="preserve">SPECIJALNA BOLNICA ZA MEDICINSKU </w:t>
      </w:r>
      <w:r w:rsidR="00681D9E">
        <w:rPr>
          <w:b/>
        </w:rPr>
        <w:tab/>
      </w:r>
      <w:r w:rsidR="00681D9E">
        <w:rPr>
          <w:b/>
        </w:rPr>
        <w:tab/>
      </w:r>
      <w:r w:rsidR="00681D9E">
        <w:rPr>
          <w:b/>
        </w:rPr>
        <w:tab/>
      </w:r>
      <w:r w:rsidR="00681D9E">
        <w:rPr>
          <w:b/>
        </w:rPr>
        <w:tab/>
      </w:r>
      <w:r w:rsidR="00681D9E">
        <w:rPr>
          <w:b/>
        </w:rPr>
        <w:tab/>
      </w:r>
    </w:p>
    <w:p w14:paraId="69842D85" w14:textId="77777777" w:rsidR="000E146C" w:rsidRPr="000E146C" w:rsidRDefault="000E146C" w:rsidP="000E146C">
      <w:pPr>
        <w:pStyle w:val="Bezproreda"/>
        <w:rPr>
          <w:b/>
        </w:rPr>
      </w:pPr>
      <w:r w:rsidRPr="000E146C">
        <w:rPr>
          <w:b/>
        </w:rPr>
        <w:t xml:space="preserve">               REHABILITACIJU</w:t>
      </w:r>
    </w:p>
    <w:p w14:paraId="0ED3425A" w14:textId="77777777" w:rsidR="000E146C" w:rsidRPr="000E146C" w:rsidRDefault="000E146C" w:rsidP="000E146C">
      <w:pPr>
        <w:pStyle w:val="Bezproreda"/>
        <w:rPr>
          <w:b/>
        </w:rPr>
      </w:pPr>
      <w:r w:rsidRPr="000E146C">
        <w:rPr>
          <w:b/>
        </w:rPr>
        <w:t xml:space="preserve">           VARAŽDINSKE TOPLICE</w:t>
      </w:r>
    </w:p>
    <w:p w14:paraId="59A533E9" w14:textId="77777777" w:rsidR="000E146C" w:rsidRPr="000E146C" w:rsidRDefault="000E146C" w:rsidP="000E146C">
      <w:pPr>
        <w:pStyle w:val="Bezproreda"/>
        <w:rPr>
          <w:b/>
        </w:rPr>
      </w:pPr>
      <w:r w:rsidRPr="000E146C">
        <w:rPr>
          <w:b/>
        </w:rPr>
        <w:t>Upravno vijeće</w:t>
      </w:r>
    </w:p>
    <w:p w14:paraId="31C55AD8" w14:textId="77777777" w:rsidR="000E146C" w:rsidRPr="001A5C8B" w:rsidRDefault="000E146C" w:rsidP="000E146C">
      <w:pPr>
        <w:pStyle w:val="Bezproreda"/>
        <w:rPr>
          <w:i/>
          <w:color w:val="FF0000"/>
        </w:rPr>
      </w:pPr>
      <w:r w:rsidRPr="000E146C">
        <w:rPr>
          <w:i/>
        </w:rPr>
        <w:t xml:space="preserve">Broj: </w:t>
      </w:r>
      <w:r w:rsidR="00D601A7" w:rsidRPr="000B567F">
        <w:rPr>
          <w:i/>
        </w:rPr>
        <w:t>01-</w:t>
      </w:r>
      <w:r w:rsidR="000B567F" w:rsidRPr="000B567F">
        <w:rPr>
          <w:i/>
        </w:rPr>
        <w:t>1791/8-2023.</w:t>
      </w:r>
    </w:p>
    <w:p w14:paraId="7B3AEB34" w14:textId="77777777" w:rsidR="000E146C" w:rsidRDefault="000E146C" w:rsidP="000E146C">
      <w:pPr>
        <w:pStyle w:val="Bezproreda"/>
      </w:pPr>
      <w:r>
        <w:t xml:space="preserve">Varaždinske Toplice, </w:t>
      </w:r>
      <w:r w:rsidR="00454F73">
        <w:t>30</w:t>
      </w:r>
      <w:r w:rsidR="00831C0F">
        <w:t>.10.2023</w:t>
      </w:r>
      <w:r w:rsidR="001A5C8B">
        <w:t>.</w:t>
      </w:r>
    </w:p>
    <w:p w14:paraId="1E5E28D2" w14:textId="77777777" w:rsidR="00796A66" w:rsidRDefault="00796A66" w:rsidP="000E146C">
      <w:pPr>
        <w:pStyle w:val="Bezproreda"/>
      </w:pPr>
    </w:p>
    <w:p w14:paraId="1D50CEBE" w14:textId="77777777" w:rsidR="00796A66" w:rsidRPr="00454F73" w:rsidRDefault="00796A66" w:rsidP="00F16607">
      <w:pPr>
        <w:pStyle w:val="Bezproreda"/>
        <w:jc w:val="both"/>
      </w:pPr>
      <w:r w:rsidRPr="00454F73">
        <w:t xml:space="preserve">Na temelju </w:t>
      </w:r>
      <w:r w:rsidR="00820BCB">
        <w:t xml:space="preserve">čl. Zakona o proračunu (NN 144/21), </w:t>
      </w:r>
      <w:r w:rsidRPr="00454F73">
        <w:t xml:space="preserve">Pravilnika o </w:t>
      </w:r>
      <w:r w:rsidR="00681D9E" w:rsidRPr="00454F73">
        <w:t xml:space="preserve">proračunskom </w:t>
      </w:r>
      <w:r w:rsidRPr="00454F73">
        <w:t>računovodstvu i računskom plan</w:t>
      </w:r>
      <w:r w:rsidR="00F869CD" w:rsidRPr="00454F73">
        <w:t xml:space="preserve">u (N.N. </w:t>
      </w:r>
      <w:r w:rsidR="004F2DFA" w:rsidRPr="00454F73">
        <w:t xml:space="preserve">124/14., 115/15., 87/16., </w:t>
      </w:r>
      <w:r w:rsidR="000864F7" w:rsidRPr="00454F73">
        <w:t>3/18., 126/19., 108/20</w:t>
      </w:r>
      <w:r w:rsidR="00820BCB">
        <w:t xml:space="preserve">) </w:t>
      </w:r>
      <w:r w:rsidRPr="00454F73">
        <w:t xml:space="preserve">i članka 13. Statuta Specijalne bolnice za medicinsku rehabilitaciju Varaždinske Toplice, Upravno vijeće </w:t>
      </w:r>
      <w:r w:rsidR="00F16607" w:rsidRPr="00454F73">
        <w:t xml:space="preserve">je na </w:t>
      </w:r>
      <w:r w:rsidR="000B567F" w:rsidRPr="00454F73">
        <w:t>117</w:t>
      </w:r>
      <w:r w:rsidR="002461A6" w:rsidRPr="00454F73">
        <w:t xml:space="preserve">. </w:t>
      </w:r>
      <w:r w:rsidRPr="00454F73">
        <w:t xml:space="preserve">sjednici održanoj dana </w:t>
      </w:r>
      <w:r w:rsidR="000B567F" w:rsidRPr="00454F73">
        <w:t>30</w:t>
      </w:r>
      <w:r w:rsidR="00625E3A" w:rsidRPr="00454F73">
        <w:t>.10</w:t>
      </w:r>
      <w:r w:rsidRPr="00454F73">
        <w:t>.</w:t>
      </w:r>
      <w:r w:rsidR="00625E3A" w:rsidRPr="00454F73">
        <w:t>2023</w:t>
      </w:r>
      <w:r w:rsidR="001A5C8B" w:rsidRPr="00454F73">
        <w:t>.</w:t>
      </w:r>
      <w:r w:rsidRPr="00454F73">
        <w:t xml:space="preserve"> godine </w:t>
      </w:r>
      <w:r w:rsidR="00F16607" w:rsidRPr="00454F73">
        <w:t xml:space="preserve">donijelo </w:t>
      </w:r>
      <w:r w:rsidR="00E95E2E" w:rsidRPr="00454F73">
        <w:t xml:space="preserve">slijedeću </w:t>
      </w:r>
    </w:p>
    <w:p w14:paraId="40180951" w14:textId="77777777" w:rsidR="002C6304" w:rsidRDefault="002C6304" w:rsidP="00F16607">
      <w:pPr>
        <w:pStyle w:val="Bezproreda"/>
        <w:jc w:val="both"/>
        <w:rPr>
          <w:sz w:val="24"/>
          <w:szCs w:val="24"/>
        </w:rPr>
      </w:pPr>
    </w:p>
    <w:p w14:paraId="752A4E66" w14:textId="77777777" w:rsidR="00F16607" w:rsidRPr="00E95E2E" w:rsidRDefault="00E95E2E" w:rsidP="00E95E2E">
      <w:pPr>
        <w:pStyle w:val="Bezproreda"/>
        <w:jc w:val="center"/>
        <w:rPr>
          <w:b/>
          <w:sz w:val="24"/>
          <w:szCs w:val="24"/>
        </w:rPr>
      </w:pPr>
      <w:r w:rsidRPr="00E95E2E">
        <w:rPr>
          <w:b/>
          <w:sz w:val="24"/>
          <w:szCs w:val="24"/>
        </w:rPr>
        <w:t xml:space="preserve">O D L U K U </w:t>
      </w:r>
    </w:p>
    <w:p w14:paraId="730EA76C" w14:textId="77777777" w:rsidR="00D82C0D" w:rsidRPr="00CC2A68" w:rsidRDefault="00FE4027" w:rsidP="00CC2A68">
      <w:pPr>
        <w:spacing w:line="240" w:lineRule="auto"/>
        <w:ind w:left="360"/>
        <w:jc w:val="center"/>
        <w:rPr>
          <w:b/>
          <w:iCs/>
        </w:rPr>
      </w:pPr>
      <w:r w:rsidRPr="00FE4027">
        <w:rPr>
          <w:b/>
          <w:iCs/>
        </w:rPr>
        <w:t xml:space="preserve">o </w:t>
      </w:r>
      <w:r w:rsidR="00D07F89">
        <w:rPr>
          <w:b/>
          <w:iCs/>
        </w:rPr>
        <w:t>višegodišnjem planu uravnoteženja, mjerama za otklanjanje uzroka negativnog poslovanja s akcijskom planom provedbe mjera za 2024., 2025. i 2026. godinu</w:t>
      </w:r>
    </w:p>
    <w:p w14:paraId="1439CA8E" w14:textId="77777777" w:rsidR="00553531" w:rsidRPr="00553531" w:rsidRDefault="00553531" w:rsidP="00553531">
      <w:pPr>
        <w:spacing w:line="240" w:lineRule="auto"/>
        <w:ind w:left="360"/>
        <w:jc w:val="center"/>
        <w:rPr>
          <w:b/>
          <w:sz w:val="24"/>
          <w:szCs w:val="24"/>
        </w:rPr>
      </w:pPr>
      <w:r>
        <w:rPr>
          <w:b/>
          <w:sz w:val="24"/>
          <w:szCs w:val="24"/>
        </w:rPr>
        <w:t>Članak 1.</w:t>
      </w:r>
    </w:p>
    <w:p w14:paraId="081C67DB" w14:textId="77777777" w:rsidR="002C6304" w:rsidRPr="007B0467" w:rsidRDefault="007A1370" w:rsidP="002C3E54">
      <w:pPr>
        <w:spacing w:line="240" w:lineRule="auto"/>
        <w:jc w:val="both"/>
        <w:rPr>
          <w:b/>
          <w:iCs/>
        </w:rPr>
      </w:pPr>
      <w:r>
        <w:t>Usvaja se</w:t>
      </w:r>
      <w:r w:rsidR="002C6304">
        <w:t xml:space="preserve"> </w:t>
      </w:r>
      <w:r w:rsidR="00787470">
        <w:t xml:space="preserve">Odluka </w:t>
      </w:r>
      <w:r w:rsidR="007B0467" w:rsidRPr="007B0467">
        <w:rPr>
          <w:iCs/>
        </w:rPr>
        <w:t>o</w:t>
      </w:r>
      <w:r w:rsidR="00D07F89" w:rsidRPr="00D07F89">
        <w:t xml:space="preserve"> </w:t>
      </w:r>
      <w:r w:rsidR="00D07F89" w:rsidRPr="00D07F89">
        <w:rPr>
          <w:iCs/>
        </w:rPr>
        <w:t>višegodišnjem planu uravnoteženja, mjerama za otklanjanje uzroka negativnog poslovanja s akcijskom planom provedbe mjera za 2024., 2025. i 2026. godinu</w:t>
      </w:r>
      <w:r w:rsidR="007B0467" w:rsidRPr="007B0467">
        <w:rPr>
          <w:iCs/>
        </w:rPr>
        <w:t xml:space="preserve"> </w:t>
      </w:r>
      <w:r w:rsidR="0031769E">
        <w:t>(u daljnjem tekstu: Odluka)</w:t>
      </w:r>
      <w:r w:rsidR="002C6304">
        <w:t>.</w:t>
      </w:r>
    </w:p>
    <w:p w14:paraId="44C8EDDD" w14:textId="77777777" w:rsidR="002C6304" w:rsidRDefault="002C6304" w:rsidP="002C6304">
      <w:pPr>
        <w:spacing w:line="240" w:lineRule="auto"/>
        <w:ind w:firstLine="708"/>
        <w:contextualSpacing/>
        <w:jc w:val="both"/>
      </w:pPr>
      <w:r>
        <w:t>A</w:t>
      </w:r>
      <w:r w:rsidRPr="00481FBE">
        <w:t>naliza financijskog stanja Specijalne bolnice za medicinsku rehabilitaciju Varaždinske Toplice</w:t>
      </w:r>
      <w:r>
        <w:t xml:space="preserve"> izrađena je u</w:t>
      </w:r>
      <w:r w:rsidR="00026450" w:rsidRPr="00481FBE">
        <w:t xml:space="preserve"> skladu s Uputama za izradu </w:t>
      </w:r>
      <w:r w:rsidR="00787470">
        <w:t>Financijskog plan</w:t>
      </w:r>
      <w:r w:rsidR="00026450" w:rsidRPr="00481FBE">
        <w:t>a jedinica lokalne i područne (regionalne) samouprave</w:t>
      </w:r>
      <w:r w:rsidR="003223FF">
        <w:t xml:space="preserve"> za razdoblje 202</w:t>
      </w:r>
      <w:r w:rsidR="00D07F89">
        <w:t>4</w:t>
      </w:r>
      <w:r w:rsidR="003223FF">
        <w:t>.-202</w:t>
      </w:r>
      <w:r w:rsidR="00D07F89">
        <w:t>6</w:t>
      </w:r>
      <w:r w:rsidR="003223FF">
        <w:t xml:space="preserve">. godine, </w:t>
      </w:r>
      <w:r w:rsidR="005166B5">
        <w:t>u cilju</w:t>
      </w:r>
      <w:r w:rsidR="00026450" w:rsidRPr="00481FBE">
        <w:t xml:space="preserve"> što kvalitetnije procjene kretanja </w:t>
      </w:r>
      <w:r w:rsidR="003223FF">
        <w:t>manjka te izrade</w:t>
      </w:r>
      <w:r w:rsidR="00026450" w:rsidRPr="00481FBE">
        <w:t xml:space="preserve"> plana njegovog pokrića</w:t>
      </w:r>
      <w:r>
        <w:t xml:space="preserve"> i </w:t>
      </w:r>
      <w:r w:rsidRPr="002C6304">
        <w:t>prijedlog</w:t>
      </w:r>
      <w:r>
        <w:t>a</w:t>
      </w:r>
      <w:r w:rsidRPr="002C6304">
        <w:t xml:space="preserve"> mjera za otklanjanje uzroka negativnog poslovanja i mjera za stabilno poslovanje</w:t>
      </w:r>
      <w:r>
        <w:t xml:space="preserve"> Bolnice</w:t>
      </w:r>
      <w:r w:rsidRPr="002C6304">
        <w:t>.</w:t>
      </w:r>
    </w:p>
    <w:p w14:paraId="6B59FEB1" w14:textId="77777777" w:rsidR="00026450" w:rsidRDefault="00026450" w:rsidP="002C6304">
      <w:pPr>
        <w:spacing w:line="240" w:lineRule="auto"/>
        <w:ind w:firstLine="708"/>
        <w:contextualSpacing/>
        <w:jc w:val="both"/>
      </w:pPr>
      <w:r w:rsidRPr="00481FBE">
        <w:t xml:space="preserve">Na temelju </w:t>
      </w:r>
      <w:r w:rsidR="00681083">
        <w:t xml:space="preserve">poznatih i procijenjenih </w:t>
      </w:r>
      <w:r w:rsidRPr="00481FBE">
        <w:t xml:space="preserve">pokazatelja </w:t>
      </w:r>
      <w:r w:rsidR="00681083">
        <w:t xml:space="preserve">poslovanja i kretanja stanja na tržištu </w:t>
      </w:r>
      <w:r w:rsidRPr="00481FBE">
        <w:t>sastavljen je prijedlog mjera za pokriće planiranog manjka i akcijski plan za njihovu provedbu. U analizi financijskog</w:t>
      </w:r>
      <w:r w:rsidR="00681083">
        <w:t xml:space="preserve"> stanja korišteni su podaci </w:t>
      </w:r>
      <w:r w:rsidR="00D07F89">
        <w:t>usvojenog Financijskog plana za 2023. godinu, rezultata poslovanja za razdoblje siječanj-kolovoz 2023. godine, procjenu rezultata poslovanja do kraja poslovne 2023. godine te procjenu Specijalne bolnice za medicinsku rehabilitaciju Varaždinske Toplice za 2024., 2025. i 2026. godinu.</w:t>
      </w:r>
    </w:p>
    <w:p w14:paraId="768CAA1C" w14:textId="77777777" w:rsidR="00026450" w:rsidRPr="00481FBE" w:rsidRDefault="00961A74" w:rsidP="00F16607">
      <w:pPr>
        <w:pStyle w:val="Naslov1"/>
        <w:spacing w:line="240" w:lineRule="auto"/>
      </w:pPr>
      <w:r w:rsidRPr="00675EDC">
        <w:rPr>
          <w:color w:val="1F4E79" w:themeColor="accent1" w:themeShade="80"/>
        </w:rPr>
        <w:t xml:space="preserve">I </w:t>
      </w:r>
      <w:r w:rsidR="00026450" w:rsidRPr="00675EDC">
        <w:rPr>
          <w:b/>
          <w:color w:val="1F4E79" w:themeColor="accent1" w:themeShade="80"/>
        </w:rPr>
        <w:t>ANALIZA I OCJENA POSTOJEĆEG FINANCIJSKOG STANJA</w:t>
      </w:r>
    </w:p>
    <w:p w14:paraId="0D66DDE6" w14:textId="77777777" w:rsidR="00026450" w:rsidRPr="00F16607" w:rsidRDefault="00026450" w:rsidP="00F16607">
      <w:pPr>
        <w:spacing w:line="240" w:lineRule="auto"/>
        <w:jc w:val="both"/>
      </w:pPr>
      <w:r w:rsidRPr="00F16607">
        <w:t>Analiza i ocjena postojećeg fi</w:t>
      </w:r>
      <w:r w:rsidR="00D07F89">
        <w:t xml:space="preserve">nancijskog stanja temelji se na </w:t>
      </w:r>
      <w:r w:rsidRPr="00F16607">
        <w:t xml:space="preserve">izvještajima o izvršenju </w:t>
      </w:r>
      <w:r w:rsidR="0025698E">
        <w:t>Financijskog plana</w:t>
      </w:r>
      <w:r w:rsidRPr="00F16607">
        <w:t xml:space="preserve"> Specijalne bolnice za medicinsku rehabilitaciju Varaždinske Toplice za </w:t>
      </w:r>
      <w:r w:rsidR="002920AB">
        <w:t>razdoblje siječanj-</w:t>
      </w:r>
      <w:r w:rsidR="00D07F89">
        <w:t xml:space="preserve">kolovoz </w:t>
      </w:r>
      <w:r w:rsidR="002920AB">
        <w:t xml:space="preserve"> </w:t>
      </w:r>
      <w:r w:rsidR="00D07F89">
        <w:t>2023</w:t>
      </w:r>
      <w:r w:rsidR="00983A5D">
        <w:t>.</w:t>
      </w:r>
      <w:r w:rsidR="00D07F89">
        <w:t xml:space="preserve"> godine</w:t>
      </w:r>
      <w:r w:rsidR="00983A5D">
        <w:t>,</w:t>
      </w:r>
      <w:r w:rsidR="00D07F89">
        <w:t xml:space="preserve"> procjeni izvršenja za razdoblje I-XII 2023. godine te procjenama poslovanja za 2024., 2025. i 2026. godinu.</w:t>
      </w:r>
      <w:r w:rsidR="00983A5D">
        <w:t xml:space="preserve"> </w:t>
      </w:r>
    </w:p>
    <w:p w14:paraId="3E5B7F6C" w14:textId="77777777" w:rsidR="00026450" w:rsidRPr="00481FBE" w:rsidRDefault="00026450" w:rsidP="00F16607">
      <w:pPr>
        <w:spacing w:line="240" w:lineRule="auto"/>
        <w:rPr>
          <w:b/>
          <w:sz w:val="24"/>
          <w:szCs w:val="24"/>
        </w:rPr>
      </w:pPr>
      <w:r w:rsidRPr="00481FBE">
        <w:rPr>
          <w:b/>
          <w:sz w:val="24"/>
          <w:szCs w:val="24"/>
        </w:rPr>
        <w:t>IZVJEŠTAJ O PRIHODIMA I RASHODIMA, PRIMICIMA I IZDACIMA</w:t>
      </w:r>
    </w:p>
    <w:p w14:paraId="573414EB" w14:textId="77777777" w:rsidR="00026450" w:rsidRDefault="00026450" w:rsidP="00983A5D">
      <w:pPr>
        <w:pStyle w:val="Naslov2"/>
        <w:spacing w:line="240" w:lineRule="auto"/>
        <w:jc w:val="both"/>
        <w:rPr>
          <w:b/>
          <w:color w:val="1F4E79" w:themeColor="accent1" w:themeShade="80"/>
          <w:sz w:val="24"/>
          <w:szCs w:val="24"/>
        </w:rPr>
      </w:pPr>
      <w:r w:rsidRPr="007C1607">
        <w:rPr>
          <w:b/>
          <w:color w:val="1F4E79" w:themeColor="accent1" w:themeShade="80"/>
          <w:sz w:val="24"/>
          <w:szCs w:val="24"/>
        </w:rPr>
        <w:t>Tablica 1. Izvršenje prihoda i primitaka</w:t>
      </w:r>
      <w:r w:rsidR="00CC2A68" w:rsidRPr="007C1607">
        <w:rPr>
          <w:b/>
          <w:color w:val="1F4E79" w:themeColor="accent1" w:themeShade="80"/>
          <w:sz w:val="24"/>
          <w:szCs w:val="24"/>
        </w:rPr>
        <w:t xml:space="preserve"> </w:t>
      </w:r>
      <w:r w:rsidR="00D07F89">
        <w:rPr>
          <w:b/>
          <w:color w:val="1F4E79" w:themeColor="accent1" w:themeShade="80"/>
          <w:sz w:val="24"/>
          <w:szCs w:val="24"/>
        </w:rPr>
        <w:t>2022. god., izvršenje I-VIII/2023. god., proc</w:t>
      </w:r>
      <w:r w:rsidR="00A86D44">
        <w:rPr>
          <w:b/>
          <w:color w:val="1F4E79" w:themeColor="accent1" w:themeShade="80"/>
          <w:sz w:val="24"/>
          <w:szCs w:val="24"/>
        </w:rPr>
        <w:t>jena godišnjeg izvršenja za 2023</w:t>
      </w:r>
      <w:r w:rsidR="00D07F89">
        <w:rPr>
          <w:b/>
          <w:color w:val="1F4E79" w:themeColor="accent1" w:themeShade="80"/>
          <w:sz w:val="24"/>
          <w:szCs w:val="24"/>
        </w:rPr>
        <w:t xml:space="preserve">. godinu te procjena 2024., 2025., i 2026. godina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3"/>
        <w:gridCol w:w="1276"/>
        <w:gridCol w:w="1280"/>
        <w:gridCol w:w="1276"/>
        <w:gridCol w:w="1276"/>
        <w:gridCol w:w="1276"/>
      </w:tblGrid>
      <w:tr w:rsidR="008E0491" w:rsidRPr="0036295B" w14:paraId="58BA51C5" w14:textId="77777777" w:rsidTr="008E0491">
        <w:trPr>
          <w:trHeight w:val="409"/>
        </w:trPr>
        <w:tc>
          <w:tcPr>
            <w:tcW w:w="1696" w:type="dxa"/>
            <w:shd w:val="clear" w:color="000000" w:fill="D9D9D9"/>
            <w:vAlign w:val="center"/>
            <w:hideMark/>
          </w:tcPr>
          <w:p w14:paraId="04136E8A" w14:textId="77777777" w:rsidR="0036295B" w:rsidRPr="0036295B" w:rsidRDefault="0036295B" w:rsidP="0036295B">
            <w:pPr>
              <w:spacing w:after="0" w:line="240" w:lineRule="auto"/>
              <w:jc w:val="center"/>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PRIHODI/PRIMICI PO VRSTI</w:t>
            </w:r>
          </w:p>
        </w:tc>
        <w:tc>
          <w:tcPr>
            <w:tcW w:w="1413" w:type="dxa"/>
            <w:shd w:val="clear" w:color="000000" w:fill="D9D9D9"/>
            <w:vAlign w:val="center"/>
            <w:hideMark/>
          </w:tcPr>
          <w:p w14:paraId="78845E93" w14:textId="77777777" w:rsidR="0036295B" w:rsidRPr="0036295B" w:rsidRDefault="0036295B" w:rsidP="0036295B">
            <w:pPr>
              <w:spacing w:after="0" w:line="240" w:lineRule="auto"/>
              <w:jc w:val="center"/>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IZVRŠENJE</w:t>
            </w:r>
          </w:p>
          <w:p w14:paraId="092D2152" w14:textId="77777777" w:rsidR="0036295B" w:rsidRPr="0036295B" w:rsidRDefault="0036295B" w:rsidP="0036295B">
            <w:pPr>
              <w:spacing w:after="0" w:line="240" w:lineRule="auto"/>
              <w:jc w:val="center"/>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2022</w:t>
            </w:r>
            <w:r w:rsidR="009962C8">
              <w:rPr>
                <w:rFonts w:ascii="Calibri" w:eastAsia="Times New Roman" w:hAnsi="Calibri" w:cs="Calibri"/>
                <w:color w:val="000000"/>
                <w:sz w:val="18"/>
                <w:szCs w:val="18"/>
                <w:lang w:eastAsia="hr-HR"/>
              </w:rPr>
              <w:t>.</w:t>
            </w:r>
          </w:p>
        </w:tc>
        <w:tc>
          <w:tcPr>
            <w:tcW w:w="1276" w:type="dxa"/>
            <w:shd w:val="clear" w:color="000000" w:fill="D9D9D9"/>
            <w:vAlign w:val="center"/>
            <w:hideMark/>
          </w:tcPr>
          <w:p w14:paraId="2363FA44" w14:textId="77777777" w:rsidR="0036295B" w:rsidRPr="0036295B" w:rsidRDefault="0036295B" w:rsidP="0036295B">
            <w:pPr>
              <w:spacing w:after="0" w:line="240" w:lineRule="auto"/>
              <w:jc w:val="center"/>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IZVRŠENJE</w:t>
            </w:r>
          </w:p>
          <w:p w14:paraId="4D84D460" w14:textId="77777777" w:rsidR="0036295B" w:rsidRPr="0036295B" w:rsidRDefault="0036295B" w:rsidP="0036295B">
            <w:pPr>
              <w:spacing w:after="0" w:line="240" w:lineRule="auto"/>
              <w:jc w:val="center"/>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 xml:space="preserve"> I-VIII 2023.</w:t>
            </w:r>
          </w:p>
        </w:tc>
        <w:tc>
          <w:tcPr>
            <w:tcW w:w="1280" w:type="dxa"/>
            <w:shd w:val="clear" w:color="000000" w:fill="D9D9D9"/>
            <w:vAlign w:val="center"/>
            <w:hideMark/>
          </w:tcPr>
          <w:p w14:paraId="7BD44043" w14:textId="77777777" w:rsidR="0036295B" w:rsidRPr="0036295B" w:rsidRDefault="0036295B" w:rsidP="0036295B">
            <w:pPr>
              <w:spacing w:after="0" w:line="240" w:lineRule="auto"/>
              <w:jc w:val="center"/>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 xml:space="preserve">PROCJENA IZVRŠENJA </w:t>
            </w:r>
          </w:p>
          <w:p w14:paraId="18B23EEE" w14:textId="77777777" w:rsidR="0036295B" w:rsidRPr="0036295B" w:rsidRDefault="0036295B" w:rsidP="0036295B">
            <w:pPr>
              <w:spacing w:after="0" w:line="240" w:lineRule="auto"/>
              <w:jc w:val="center"/>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I-XII 2023</w:t>
            </w:r>
            <w:r w:rsidR="000B567F">
              <w:rPr>
                <w:rFonts w:ascii="Calibri" w:eastAsia="Times New Roman" w:hAnsi="Calibri" w:cs="Calibri"/>
                <w:color w:val="000000"/>
                <w:sz w:val="18"/>
                <w:szCs w:val="18"/>
                <w:lang w:eastAsia="hr-HR"/>
              </w:rPr>
              <w:t>.</w:t>
            </w:r>
          </w:p>
        </w:tc>
        <w:tc>
          <w:tcPr>
            <w:tcW w:w="1276" w:type="dxa"/>
            <w:shd w:val="clear" w:color="000000" w:fill="D9D9D9"/>
            <w:vAlign w:val="center"/>
            <w:hideMark/>
          </w:tcPr>
          <w:p w14:paraId="0924FC38" w14:textId="77777777" w:rsidR="0036295B" w:rsidRPr="0036295B" w:rsidRDefault="00E70124" w:rsidP="0036295B">
            <w:pPr>
              <w:spacing w:after="0" w:line="240" w:lineRule="auto"/>
              <w:jc w:val="center"/>
              <w:rPr>
                <w:rFonts w:ascii="Calibri" w:eastAsia="Times New Roman" w:hAnsi="Calibri" w:cs="Calibri"/>
                <w:color w:val="000000"/>
                <w:sz w:val="18"/>
                <w:szCs w:val="18"/>
                <w:lang w:eastAsia="hr-HR"/>
              </w:rPr>
            </w:pPr>
            <w:r>
              <w:rPr>
                <w:rFonts w:ascii="Calibri" w:eastAsia="Times New Roman" w:hAnsi="Calibri" w:cs="Calibri"/>
                <w:color w:val="000000"/>
                <w:sz w:val="18"/>
                <w:szCs w:val="18"/>
                <w:lang w:eastAsia="hr-HR"/>
              </w:rPr>
              <w:t>PLAN</w:t>
            </w:r>
          </w:p>
          <w:p w14:paraId="6AEC95F5" w14:textId="77777777" w:rsidR="0036295B" w:rsidRPr="0036295B" w:rsidRDefault="0036295B" w:rsidP="0036295B">
            <w:pPr>
              <w:spacing w:after="0" w:line="240" w:lineRule="auto"/>
              <w:jc w:val="center"/>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2024</w:t>
            </w:r>
            <w:r w:rsidR="009962C8">
              <w:rPr>
                <w:rFonts w:ascii="Calibri" w:eastAsia="Times New Roman" w:hAnsi="Calibri" w:cs="Calibri"/>
                <w:color w:val="000000"/>
                <w:sz w:val="18"/>
                <w:szCs w:val="18"/>
                <w:lang w:eastAsia="hr-HR"/>
              </w:rPr>
              <w:t>.</w:t>
            </w:r>
          </w:p>
        </w:tc>
        <w:tc>
          <w:tcPr>
            <w:tcW w:w="1276" w:type="dxa"/>
            <w:shd w:val="clear" w:color="000000" w:fill="D9D9D9"/>
            <w:vAlign w:val="center"/>
            <w:hideMark/>
          </w:tcPr>
          <w:p w14:paraId="1141B8E4" w14:textId="77777777" w:rsidR="0036295B" w:rsidRPr="0036295B" w:rsidRDefault="0036295B" w:rsidP="0036295B">
            <w:pPr>
              <w:spacing w:after="0" w:line="240" w:lineRule="auto"/>
              <w:jc w:val="center"/>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PROCJENA</w:t>
            </w:r>
            <w:r w:rsidRPr="0036295B">
              <w:rPr>
                <w:rFonts w:ascii="Calibri" w:eastAsia="Times New Roman" w:hAnsi="Calibri" w:cs="Calibri"/>
                <w:color w:val="000000"/>
                <w:sz w:val="18"/>
                <w:szCs w:val="18"/>
                <w:lang w:eastAsia="hr-HR"/>
              </w:rPr>
              <w:br/>
              <w:t>2025</w:t>
            </w:r>
            <w:r w:rsidR="009962C8">
              <w:rPr>
                <w:rFonts w:ascii="Calibri" w:eastAsia="Times New Roman" w:hAnsi="Calibri" w:cs="Calibri"/>
                <w:color w:val="000000"/>
                <w:sz w:val="18"/>
                <w:szCs w:val="18"/>
                <w:lang w:eastAsia="hr-HR"/>
              </w:rPr>
              <w:t>.</w:t>
            </w:r>
          </w:p>
        </w:tc>
        <w:tc>
          <w:tcPr>
            <w:tcW w:w="1276" w:type="dxa"/>
            <w:shd w:val="clear" w:color="000000" w:fill="D9D9D9"/>
            <w:vAlign w:val="center"/>
            <w:hideMark/>
          </w:tcPr>
          <w:p w14:paraId="215EB110" w14:textId="77777777" w:rsidR="0036295B" w:rsidRPr="0036295B" w:rsidRDefault="0036295B" w:rsidP="0036295B">
            <w:pPr>
              <w:spacing w:after="0" w:line="240" w:lineRule="auto"/>
              <w:jc w:val="center"/>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PROCJENA</w:t>
            </w:r>
          </w:p>
          <w:p w14:paraId="48BB690F" w14:textId="77777777" w:rsidR="0036295B" w:rsidRPr="0036295B" w:rsidRDefault="0036295B" w:rsidP="0036295B">
            <w:pPr>
              <w:spacing w:after="0" w:line="240" w:lineRule="auto"/>
              <w:jc w:val="center"/>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2026</w:t>
            </w:r>
            <w:r w:rsidR="009962C8">
              <w:rPr>
                <w:rFonts w:ascii="Calibri" w:eastAsia="Times New Roman" w:hAnsi="Calibri" w:cs="Calibri"/>
                <w:color w:val="000000"/>
                <w:sz w:val="18"/>
                <w:szCs w:val="18"/>
                <w:lang w:eastAsia="hr-HR"/>
              </w:rPr>
              <w:t>.</w:t>
            </w:r>
          </w:p>
        </w:tc>
      </w:tr>
      <w:tr w:rsidR="0036295B" w:rsidRPr="0036295B" w14:paraId="0AD4DED4" w14:textId="77777777" w:rsidTr="008E0491">
        <w:trPr>
          <w:trHeight w:val="306"/>
        </w:trPr>
        <w:tc>
          <w:tcPr>
            <w:tcW w:w="1696" w:type="dxa"/>
            <w:shd w:val="clear" w:color="auto" w:fill="auto"/>
            <w:vAlign w:val="center"/>
            <w:hideMark/>
          </w:tcPr>
          <w:p w14:paraId="7EDFCCED" w14:textId="77777777" w:rsidR="0036295B" w:rsidRPr="0036295B" w:rsidRDefault="0036295B" w:rsidP="0036295B">
            <w:pPr>
              <w:spacing w:after="0" w:line="240" w:lineRule="auto"/>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Prihodi poslovanja</w:t>
            </w:r>
          </w:p>
        </w:tc>
        <w:tc>
          <w:tcPr>
            <w:tcW w:w="1413" w:type="dxa"/>
            <w:shd w:val="clear" w:color="auto" w:fill="auto"/>
            <w:vAlign w:val="center"/>
            <w:hideMark/>
          </w:tcPr>
          <w:p w14:paraId="6AC5A28C" w14:textId="77777777" w:rsidR="0036295B" w:rsidRPr="0036295B" w:rsidRDefault="0036295B" w:rsidP="0036295B">
            <w:pPr>
              <w:spacing w:after="0" w:line="240" w:lineRule="auto"/>
              <w:jc w:val="right"/>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26.575.003,56</w:t>
            </w:r>
          </w:p>
        </w:tc>
        <w:tc>
          <w:tcPr>
            <w:tcW w:w="1276" w:type="dxa"/>
            <w:shd w:val="clear" w:color="auto" w:fill="auto"/>
            <w:vAlign w:val="center"/>
            <w:hideMark/>
          </w:tcPr>
          <w:p w14:paraId="3AF9B7D7" w14:textId="77777777" w:rsidR="0036295B" w:rsidRPr="0036295B" w:rsidRDefault="0036295B" w:rsidP="0036295B">
            <w:pPr>
              <w:spacing w:after="0" w:line="240" w:lineRule="auto"/>
              <w:jc w:val="right"/>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16.202.556,14</w:t>
            </w:r>
          </w:p>
        </w:tc>
        <w:tc>
          <w:tcPr>
            <w:tcW w:w="1280" w:type="dxa"/>
            <w:shd w:val="clear" w:color="auto" w:fill="auto"/>
            <w:vAlign w:val="center"/>
            <w:hideMark/>
          </w:tcPr>
          <w:p w14:paraId="190E8B00" w14:textId="77777777" w:rsidR="0036295B" w:rsidRPr="0036295B" w:rsidRDefault="0036295B" w:rsidP="0036295B">
            <w:pPr>
              <w:spacing w:after="0" w:line="240" w:lineRule="auto"/>
              <w:jc w:val="right"/>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29.669.880,00</w:t>
            </w:r>
          </w:p>
        </w:tc>
        <w:tc>
          <w:tcPr>
            <w:tcW w:w="1276" w:type="dxa"/>
            <w:shd w:val="clear" w:color="auto" w:fill="auto"/>
            <w:vAlign w:val="center"/>
            <w:hideMark/>
          </w:tcPr>
          <w:p w14:paraId="5DF734F2" w14:textId="77777777" w:rsidR="0036295B" w:rsidRPr="0036295B" w:rsidRDefault="00E70124" w:rsidP="0036295B">
            <w:pPr>
              <w:spacing w:after="0" w:line="240" w:lineRule="auto"/>
              <w:jc w:val="right"/>
              <w:rPr>
                <w:rFonts w:ascii="Calibri" w:eastAsia="Times New Roman" w:hAnsi="Calibri" w:cs="Calibri"/>
                <w:color w:val="000000"/>
                <w:sz w:val="18"/>
                <w:szCs w:val="18"/>
                <w:lang w:eastAsia="hr-HR"/>
              </w:rPr>
            </w:pPr>
            <w:r>
              <w:rPr>
                <w:rFonts w:ascii="Calibri" w:eastAsia="Times New Roman" w:hAnsi="Calibri" w:cs="Calibri"/>
                <w:color w:val="000000"/>
                <w:sz w:val="18"/>
                <w:szCs w:val="18"/>
                <w:lang w:eastAsia="hr-HR"/>
              </w:rPr>
              <w:t>26.861.337</w:t>
            </w:r>
            <w:r w:rsidR="00454F73">
              <w:rPr>
                <w:rFonts w:ascii="Calibri" w:eastAsia="Times New Roman" w:hAnsi="Calibri" w:cs="Calibri"/>
                <w:color w:val="000000"/>
                <w:sz w:val="18"/>
                <w:szCs w:val="18"/>
                <w:lang w:eastAsia="hr-HR"/>
              </w:rPr>
              <w:t>,00</w:t>
            </w:r>
          </w:p>
        </w:tc>
        <w:tc>
          <w:tcPr>
            <w:tcW w:w="1276" w:type="dxa"/>
            <w:shd w:val="clear" w:color="auto" w:fill="auto"/>
            <w:vAlign w:val="center"/>
            <w:hideMark/>
          </w:tcPr>
          <w:p w14:paraId="6FB71FB9" w14:textId="77777777" w:rsidR="0036295B" w:rsidRPr="0036295B" w:rsidRDefault="0036295B" w:rsidP="0036295B">
            <w:pPr>
              <w:spacing w:after="0" w:line="240" w:lineRule="auto"/>
              <w:jc w:val="right"/>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27.925.138,00</w:t>
            </w:r>
          </w:p>
        </w:tc>
        <w:tc>
          <w:tcPr>
            <w:tcW w:w="1276" w:type="dxa"/>
            <w:shd w:val="clear" w:color="auto" w:fill="auto"/>
            <w:vAlign w:val="center"/>
            <w:hideMark/>
          </w:tcPr>
          <w:p w14:paraId="5F48E70E" w14:textId="77777777" w:rsidR="0036295B" w:rsidRPr="0036295B" w:rsidRDefault="0036295B" w:rsidP="0036295B">
            <w:pPr>
              <w:spacing w:after="0" w:line="240" w:lineRule="auto"/>
              <w:jc w:val="right"/>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28.474.724,00</w:t>
            </w:r>
          </w:p>
        </w:tc>
      </w:tr>
      <w:tr w:rsidR="0036295B" w:rsidRPr="0036295B" w14:paraId="57EA140C" w14:textId="77777777" w:rsidTr="008E0491">
        <w:trPr>
          <w:trHeight w:val="256"/>
        </w:trPr>
        <w:tc>
          <w:tcPr>
            <w:tcW w:w="1696" w:type="dxa"/>
            <w:shd w:val="clear" w:color="auto" w:fill="auto"/>
            <w:vAlign w:val="center"/>
            <w:hideMark/>
          </w:tcPr>
          <w:p w14:paraId="23751D38" w14:textId="77777777" w:rsidR="0036295B" w:rsidRPr="0036295B" w:rsidRDefault="0036295B" w:rsidP="0036295B">
            <w:pPr>
              <w:spacing w:after="0" w:line="240" w:lineRule="auto"/>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 xml:space="preserve">Prihodi od prodaje </w:t>
            </w:r>
            <w:proofErr w:type="spellStart"/>
            <w:r w:rsidRPr="0036295B">
              <w:rPr>
                <w:rFonts w:ascii="Calibri" w:eastAsia="Times New Roman" w:hAnsi="Calibri" w:cs="Calibri"/>
                <w:color w:val="000000"/>
                <w:sz w:val="18"/>
                <w:szCs w:val="18"/>
                <w:lang w:eastAsia="hr-HR"/>
              </w:rPr>
              <w:t>nef</w:t>
            </w:r>
            <w:proofErr w:type="spellEnd"/>
            <w:r w:rsidRPr="0036295B">
              <w:rPr>
                <w:rFonts w:ascii="Calibri" w:eastAsia="Times New Roman" w:hAnsi="Calibri" w:cs="Calibri"/>
                <w:color w:val="000000"/>
                <w:sz w:val="18"/>
                <w:szCs w:val="18"/>
                <w:lang w:eastAsia="hr-HR"/>
              </w:rPr>
              <w:t xml:space="preserve">. </w:t>
            </w:r>
            <w:proofErr w:type="spellStart"/>
            <w:r w:rsidRPr="0036295B">
              <w:rPr>
                <w:rFonts w:ascii="Calibri" w:eastAsia="Times New Roman" w:hAnsi="Calibri" w:cs="Calibri"/>
                <w:color w:val="000000"/>
                <w:sz w:val="18"/>
                <w:szCs w:val="18"/>
                <w:lang w:eastAsia="hr-HR"/>
              </w:rPr>
              <w:t>Imov</w:t>
            </w:r>
            <w:proofErr w:type="spellEnd"/>
            <w:r w:rsidRPr="0036295B">
              <w:rPr>
                <w:rFonts w:ascii="Calibri" w:eastAsia="Times New Roman" w:hAnsi="Calibri" w:cs="Calibri"/>
                <w:color w:val="000000"/>
                <w:sz w:val="18"/>
                <w:szCs w:val="18"/>
                <w:lang w:eastAsia="hr-HR"/>
              </w:rPr>
              <w:t>.</w:t>
            </w:r>
          </w:p>
        </w:tc>
        <w:tc>
          <w:tcPr>
            <w:tcW w:w="1413" w:type="dxa"/>
            <w:shd w:val="clear" w:color="auto" w:fill="auto"/>
            <w:vAlign w:val="center"/>
            <w:hideMark/>
          </w:tcPr>
          <w:p w14:paraId="5EEEBBA4" w14:textId="77777777" w:rsidR="0036295B" w:rsidRPr="0036295B" w:rsidRDefault="0036295B" w:rsidP="0036295B">
            <w:pPr>
              <w:spacing w:after="0" w:line="240" w:lineRule="auto"/>
              <w:jc w:val="right"/>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7.253,88</w:t>
            </w:r>
          </w:p>
        </w:tc>
        <w:tc>
          <w:tcPr>
            <w:tcW w:w="1276" w:type="dxa"/>
            <w:shd w:val="clear" w:color="auto" w:fill="auto"/>
            <w:vAlign w:val="center"/>
            <w:hideMark/>
          </w:tcPr>
          <w:p w14:paraId="07A17BAA" w14:textId="77777777" w:rsidR="0036295B" w:rsidRPr="0036295B" w:rsidRDefault="0036295B" w:rsidP="0036295B">
            <w:pPr>
              <w:spacing w:after="0" w:line="240" w:lineRule="auto"/>
              <w:jc w:val="right"/>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1.070,55</w:t>
            </w:r>
          </w:p>
        </w:tc>
        <w:tc>
          <w:tcPr>
            <w:tcW w:w="1280" w:type="dxa"/>
            <w:shd w:val="clear" w:color="auto" w:fill="auto"/>
            <w:vAlign w:val="center"/>
            <w:hideMark/>
          </w:tcPr>
          <w:p w14:paraId="5911F09D" w14:textId="77777777" w:rsidR="0036295B" w:rsidRPr="0036295B" w:rsidRDefault="0036295B" w:rsidP="0036295B">
            <w:pPr>
              <w:spacing w:after="0" w:line="240" w:lineRule="auto"/>
              <w:jc w:val="right"/>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1.650,00</w:t>
            </w:r>
          </w:p>
        </w:tc>
        <w:tc>
          <w:tcPr>
            <w:tcW w:w="1276" w:type="dxa"/>
            <w:shd w:val="clear" w:color="auto" w:fill="auto"/>
            <w:vAlign w:val="center"/>
            <w:hideMark/>
          </w:tcPr>
          <w:p w14:paraId="2048984B" w14:textId="77777777" w:rsidR="0036295B" w:rsidRPr="0036295B" w:rsidRDefault="0036295B" w:rsidP="0036295B">
            <w:pPr>
              <w:spacing w:after="0" w:line="240" w:lineRule="auto"/>
              <w:jc w:val="right"/>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1.500,00</w:t>
            </w:r>
          </w:p>
        </w:tc>
        <w:tc>
          <w:tcPr>
            <w:tcW w:w="1276" w:type="dxa"/>
            <w:shd w:val="clear" w:color="auto" w:fill="auto"/>
            <w:vAlign w:val="center"/>
            <w:hideMark/>
          </w:tcPr>
          <w:p w14:paraId="1C07463F" w14:textId="77777777" w:rsidR="0036295B" w:rsidRPr="0036295B" w:rsidRDefault="0036295B" w:rsidP="0036295B">
            <w:pPr>
              <w:spacing w:after="0" w:line="240" w:lineRule="auto"/>
              <w:jc w:val="right"/>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1.000,00</w:t>
            </w:r>
          </w:p>
        </w:tc>
        <w:tc>
          <w:tcPr>
            <w:tcW w:w="1276" w:type="dxa"/>
            <w:shd w:val="clear" w:color="auto" w:fill="auto"/>
            <w:vAlign w:val="center"/>
            <w:hideMark/>
          </w:tcPr>
          <w:p w14:paraId="5E1E9FEC" w14:textId="77777777" w:rsidR="0036295B" w:rsidRPr="0036295B" w:rsidRDefault="0036295B" w:rsidP="0036295B">
            <w:pPr>
              <w:spacing w:after="0" w:line="240" w:lineRule="auto"/>
              <w:jc w:val="right"/>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500,00</w:t>
            </w:r>
          </w:p>
        </w:tc>
      </w:tr>
      <w:tr w:rsidR="0036295B" w:rsidRPr="0036295B" w14:paraId="69199622" w14:textId="77777777" w:rsidTr="008E0491">
        <w:trPr>
          <w:trHeight w:val="131"/>
        </w:trPr>
        <w:tc>
          <w:tcPr>
            <w:tcW w:w="1696" w:type="dxa"/>
            <w:shd w:val="clear" w:color="auto" w:fill="auto"/>
            <w:vAlign w:val="center"/>
            <w:hideMark/>
          </w:tcPr>
          <w:p w14:paraId="4A0FFF1A" w14:textId="77777777" w:rsidR="0036295B" w:rsidRPr="0036295B" w:rsidRDefault="0036295B" w:rsidP="0036295B">
            <w:pPr>
              <w:spacing w:after="0" w:line="240" w:lineRule="auto"/>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Primici od zaduživanja</w:t>
            </w:r>
          </w:p>
        </w:tc>
        <w:tc>
          <w:tcPr>
            <w:tcW w:w="1413" w:type="dxa"/>
            <w:shd w:val="clear" w:color="auto" w:fill="auto"/>
            <w:vAlign w:val="center"/>
            <w:hideMark/>
          </w:tcPr>
          <w:p w14:paraId="62BA741E" w14:textId="77777777" w:rsidR="0036295B" w:rsidRPr="0036295B" w:rsidRDefault="0036295B" w:rsidP="0036295B">
            <w:pPr>
              <w:spacing w:after="0" w:line="240" w:lineRule="auto"/>
              <w:jc w:val="right"/>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390</w:t>
            </w:r>
            <w:r w:rsidR="008E0491">
              <w:rPr>
                <w:rFonts w:ascii="Calibri" w:eastAsia="Times New Roman" w:hAnsi="Calibri" w:cs="Calibri"/>
                <w:color w:val="000000"/>
                <w:sz w:val="18"/>
                <w:szCs w:val="18"/>
                <w:lang w:eastAsia="hr-HR"/>
              </w:rPr>
              <w:t>.</w:t>
            </w:r>
            <w:r w:rsidRPr="0036295B">
              <w:rPr>
                <w:rFonts w:ascii="Calibri" w:eastAsia="Times New Roman" w:hAnsi="Calibri" w:cs="Calibri"/>
                <w:color w:val="000000"/>
                <w:sz w:val="18"/>
                <w:szCs w:val="18"/>
                <w:lang w:eastAsia="hr-HR"/>
              </w:rPr>
              <w:t>014,45</w:t>
            </w:r>
          </w:p>
        </w:tc>
        <w:tc>
          <w:tcPr>
            <w:tcW w:w="1276" w:type="dxa"/>
            <w:shd w:val="clear" w:color="auto" w:fill="auto"/>
            <w:vAlign w:val="center"/>
            <w:hideMark/>
          </w:tcPr>
          <w:p w14:paraId="26057D6A" w14:textId="77777777" w:rsidR="0036295B" w:rsidRPr="0036295B" w:rsidRDefault="0036295B" w:rsidP="0036295B">
            <w:pPr>
              <w:spacing w:after="0" w:line="240" w:lineRule="auto"/>
              <w:jc w:val="right"/>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0,00</w:t>
            </w:r>
          </w:p>
        </w:tc>
        <w:tc>
          <w:tcPr>
            <w:tcW w:w="1280" w:type="dxa"/>
            <w:shd w:val="clear" w:color="auto" w:fill="auto"/>
            <w:vAlign w:val="center"/>
            <w:hideMark/>
          </w:tcPr>
          <w:p w14:paraId="3BA90F2B" w14:textId="77777777" w:rsidR="0036295B" w:rsidRPr="0036295B" w:rsidRDefault="0036295B" w:rsidP="0036295B">
            <w:pPr>
              <w:spacing w:after="0" w:line="240" w:lineRule="auto"/>
              <w:jc w:val="right"/>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0,00</w:t>
            </w:r>
          </w:p>
        </w:tc>
        <w:tc>
          <w:tcPr>
            <w:tcW w:w="1276" w:type="dxa"/>
            <w:shd w:val="clear" w:color="auto" w:fill="auto"/>
            <w:vAlign w:val="center"/>
            <w:hideMark/>
          </w:tcPr>
          <w:p w14:paraId="5FB7BF48" w14:textId="77777777" w:rsidR="0036295B" w:rsidRPr="0036295B" w:rsidRDefault="0036295B" w:rsidP="0036295B">
            <w:pPr>
              <w:spacing w:after="0" w:line="240" w:lineRule="auto"/>
              <w:jc w:val="right"/>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0,00</w:t>
            </w:r>
          </w:p>
        </w:tc>
        <w:tc>
          <w:tcPr>
            <w:tcW w:w="1276" w:type="dxa"/>
            <w:shd w:val="clear" w:color="auto" w:fill="auto"/>
            <w:vAlign w:val="center"/>
            <w:hideMark/>
          </w:tcPr>
          <w:p w14:paraId="2732251E" w14:textId="77777777" w:rsidR="0036295B" w:rsidRPr="0036295B" w:rsidRDefault="0036295B" w:rsidP="0036295B">
            <w:pPr>
              <w:spacing w:after="0" w:line="240" w:lineRule="auto"/>
              <w:jc w:val="right"/>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0,00</w:t>
            </w:r>
          </w:p>
        </w:tc>
        <w:tc>
          <w:tcPr>
            <w:tcW w:w="1276" w:type="dxa"/>
            <w:shd w:val="clear" w:color="auto" w:fill="auto"/>
            <w:vAlign w:val="center"/>
            <w:hideMark/>
          </w:tcPr>
          <w:p w14:paraId="49C6C252" w14:textId="77777777" w:rsidR="0036295B" w:rsidRPr="0036295B" w:rsidRDefault="0036295B" w:rsidP="0036295B">
            <w:pPr>
              <w:spacing w:after="0" w:line="240" w:lineRule="auto"/>
              <w:jc w:val="right"/>
              <w:rPr>
                <w:rFonts w:ascii="Calibri" w:eastAsia="Times New Roman" w:hAnsi="Calibri" w:cs="Calibri"/>
                <w:color w:val="000000"/>
                <w:sz w:val="18"/>
                <w:szCs w:val="18"/>
                <w:lang w:eastAsia="hr-HR"/>
              </w:rPr>
            </w:pPr>
            <w:r w:rsidRPr="0036295B">
              <w:rPr>
                <w:rFonts w:ascii="Calibri" w:eastAsia="Times New Roman" w:hAnsi="Calibri" w:cs="Calibri"/>
                <w:color w:val="000000"/>
                <w:sz w:val="18"/>
                <w:szCs w:val="18"/>
                <w:lang w:eastAsia="hr-HR"/>
              </w:rPr>
              <w:t>0,00</w:t>
            </w:r>
          </w:p>
        </w:tc>
      </w:tr>
      <w:tr w:rsidR="0036295B" w:rsidRPr="0036295B" w14:paraId="6BD5FAE5" w14:textId="77777777" w:rsidTr="000B567F">
        <w:trPr>
          <w:trHeight w:val="315"/>
        </w:trPr>
        <w:tc>
          <w:tcPr>
            <w:tcW w:w="1696" w:type="dxa"/>
            <w:shd w:val="clear" w:color="auto" w:fill="D9D9D9" w:themeFill="background1" w:themeFillShade="D9"/>
            <w:vAlign w:val="center"/>
            <w:hideMark/>
          </w:tcPr>
          <w:p w14:paraId="15A18818" w14:textId="77777777" w:rsidR="0036295B" w:rsidRPr="0036295B" w:rsidRDefault="0036295B" w:rsidP="0036295B">
            <w:pPr>
              <w:spacing w:after="0" w:line="240" w:lineRule="auto"/>
              <w:rPr>
                <w:rFonts w:ascii="Calibri" w:eastAsia="Times New Roman" w:hAnsi="Calibri" w:cs="Calibri"/>
                <w:b/>
                <w:bCs/>
                <w:color w:val="000000"/>
                <w:sz w:val="18"/>
                <w:szCs w:val="18"/>
                <w:lang w:eastAsia="hr-HR"/>
              </w:rPr>
            </w:pPr>
            <w:r w:rsidRPr="0036295B">
              <w:rPr>
                <w:rFonts w:ascii="Calibri" w:eastAsia="Times New Roman" w:hAnsi="Calibri" w:cs="Calibri"/>
                <w:b/>
                <w:bCs/>
                <w:color w:val="000000"/>
                <w:sz w:val="18"/>
                <w:szCs w:val="18"/>
                <w:lang w:eastAsia="hr-HR"/>
              </w:rPr>
              <w:t>SVEUKUPNO</w:t>
            </w:r>
          </w:p>
        </w:tc>
        <w:tc>
          <w:tcPr>
            <w:tcW w:w="1413" w:type="dxa"/>
            <w:shd w:val="clear" w:color="auto" w:fill="D9D9D9" w:themeFill="background1" w:themeFillShade="D9"/>
            <w:vAlign w:val="center"/>
            <w:hideMark/>
          </w:tcPr>
          <w:p w14:paraId="70EED037" w14:textId="77777777" w:rsidR="0036295B" w:rsidRPr="0036295B" w:rsidRDefault="0036295B" w:rsidP="0036295B">
            <w:pPr>
              <w:spacing w:after="0" w:line="240" w:lineRule="auto"/>
              <w:jc w:val="right"/>
              <w:rPr>
                <w:rFonts w:ascii="Calibri" w:eastAsia="Times New Roman" w:hAnsi="Calibri" w:cs="Calibri"/>
                <w:b/>
                <w:bCs/>
                <w:color w:val="000000"/>
                <w:sz w:val="18"/>
                <w:szCs w:val="18"/>
                <w:lang w:eastAsia="hr-HR"/>
              </w:rPr>
            </w:pPr>
            <w:r w:rsidRPr="0036295B">
              <w:rPr>
                <w:rFonts w:ascii="Calibri" w:eastAsia="Times New Roman" w:hAnsi="Calibri" w:cs="Calibri"/>
                <w:b/>
                <w:bCs/>
                <w:color w:val="000000"/>
                <w:sz w:val="18"/>
                <w:szCs w:val="18"/>
                <w:lang w:eastAsia="hr-HR"/>
              </w:rPr>
              <w:t>26.972.271,89</w:t>
            </w:r>
          </w:p>
        </w:tc>
        <w:tc>
          <w:tcPr>
            <w:tcW w:w="1276" w:type="dxa"/>
            <w:shd w:val="clear" w:color="auto" w:fill="D9D9D9" w:themeFill="background1" w:themeFillShade="D9"/>
            <w:vAlign w:val="center"/>
            <w:hideMark/>
          </w:tcPr>
          <w:p w14:paraId="14B6C379" w14:textId="77777777" w:rsidR="0036295B" w:rsidRPr="0036295B" w:rsidRDefault="0036295B" w:rsidP="0036295B">
            <w:pPr>
              <w:spacing w:after="0" w:line="240" w:lineRule="auto"/>
              <w:jc w:val="right"/>
              <w:rPr>
                <w:rFonts w:ascii="Calibri" w:eastAsia="Times New Roman" w:hAnsi="Calibri" w:cs="Calibri"/>
                <w:b/>
                <w:bCs/>
                <w:color w:val="000000"/>
                <w:sz w:val="18"/>
                <w:szCs w:val="18"/>
                <w:lang w:eastAsia="hr-HR"/>
              </w:rPr>
            </w:pPr>
            <w:r w:rsidRPr="0036295B">
              <w:rPr>
                <w:rFonts w:ascii="Calibri" w:eastAsia="Times New Roman" w:hAnsi="Calibri" w:cs="Calibri"/>
                <w:b/>
                <w:bCs/>
                <w:color w:val="000000"/>
                <w:sz w:val="18"/>
                <w:szCs w:val="18"/>
                <w:lang w:eastAsia="hr-HR"/>
              </w:rPr>
              <w:t>16.203.626,69</w:t>
            </w:r>
          </w:p>
        </w:tc>
        <w:tc>
          <w:tcPr>
            <w:tcW w:w="1280" w:type="dxa"/>
            <w:shd w:val="clear" w:color="auto" w:fill="D9D9D9" w:themeFill="background1" w:themeFillShade="D9"/>
            <w:vAlign w:val="center"/>
            <w:hideMark/>
          </w:tcPr>
          <w:p w14:paraId="4275A53D" w14:textId="77777777" w:rsidR="0036295B" w:rsidRPr="0036295B" w:rsidRDefault="0036295B" w:rsidP="0036295B">
            <w:pPr>
              <w:spacing w:after="0" w:line="240" w:lineRule="auto"/>
              <w:jc w:val="right"/>
              <w:rPr>
                <w:rFonts w:ascii="Calibri" w:eastAsia="Times New Roman" w:hAnsi="Calibri" w:cs="Calibri"/>
                <w:b/>
                <w:bCs/>
                <w:color w:val="000000"/>
                <w:sz w:val="18"/>
                <w:szCs w:val="18"/>
                <w:lang w:eastAsia="hr-HR"/>
              </w:rPr>
            </w:pPr>
            <w:r w:rsidRPr="0036295B">
              <w:rPr>
                <w:rFonts w:ascii="Calibri" w:eastAsia="Times New Roman" w:hAnsi="Calibri" w:cs="Calibri"/>
                <w:b/>
                <w:bCs/>
                <w:color w:val="000000"/>
                <w:sz w:val="18"/>
                <w:szCs w:val="18"/>
                <w:lang w:eastAsia="hr-HR"/>
              </w:rPr>
              <w:t>29.671.530,00</w:t>
            </w:r>
          </w:p>
        </w:tc>
        <w:tc>
          <w:tcPr>
            <w:tcW w:w="1276" w:type="dxa"/>
            <w:shd w:val="clear" w:color="auto" w:fill="D9D9D9" w:themeFill="background1" w:themeFillShade="D9"/>
            <w:vAlign w:val="center"/>
            <w:hideMark/>
          </w:tcPr>
          <w:p w14:paraId="3650FC6A" w14:textId="77777777" w:rsidR="0036295B" w:rsidRPr="0036295B" w:rsidRDefault="00E70124" w:rsidP="0036295B">
            <w:pPr>
              <w:spacing w:after="0" w:line="240" w:lineRule="auto"/>
              <w:jc w:val="right"/>
              <w:rPr>
                <w:rFonts w:ascii="Calibri" w:eastAsia="Times New Roman" w:hAnsi="Calibri" w:cs="Calibri"/>
                <w:b/>
                <w:bCs/>
                <w:color w:val="000000"/>
                <w:sz w:val="18"/>
                <w:szCs w:val="18"/>
                <w:lang w:eastAsia="hr-HR"/>
              </w:rPr>
            </w:pPr>
            <w:r>
              <w:rPr>
                <w:rFonts w:ascii="Calibri" w:eastAsia="Times New Roman" w:hAnsi="Calibri" w:cs="Calibri"/>
                <w:b/>
                <w:bCs/>
                <w:color w:val="000000"/>
                <w:sz w:val="18"/>
                <w:szCs w:val="18"/>
                <w:lang w:eastAsia="hr-HR"/>
              </w:rPr>
              <w:t>26.862.837</w:t>
            </w:r>
            <w:r w:rsidR="00454F73">
              <w:rPr>
                <w:rFonts w:ascii="Calibri" w:eastAsia="Times New Roman" w:hAnsi="Calibri" w:cs="Calibri"/>
                <w:b/>
                <w:bCs/>
                <w:color w:val="000000"/>
                <w:sz w:val="18"/>
                <w:szCs w:val="18"/>
                <w:lang w:eastAsia="hr-HR"/>
              </w:rPr>
              <w:t>,00</w:t>
            </w:r>
          </w:p>
        </w:tc>
        <w:tc>
          <w:tcPr>
            <w:tcW w:w="1276" w:type="dxa"/>
            <w:shd w:val="clear" w:color="auto" w:fill="D9D9D9" w:themeFill="background1" w:themeFillShade="D9"/>
            <w:vAlign w:val="center"/>
            <w:hideMark/>
          </w:tcPr>
          <w:p w14:paraId="5BF02D85" w14:textId="77777777" w:rsidR="0036295B" w:rsidRPr="0036295B" w:rsidRDefault="0036295B" w:rsidP="0036295B">
            <w:pPr>
              <w:spacing w:after="0" w:line="240" w:lineRule="auto"/>
              <w:jc w:val="right"/>
              <w:rPr>
                <w:rFonts w:ascii="Calibri" w:eastAsia="Times New Roman" w:hAnsi="Calibri" w:cs="Calibri"/>
                <w:b/>
                <w:bCs/>
                <w:color w:val="000000"/>
                <w:sz w:val="18"/>
                <w:szCs w:val="18"/>
                <w:lang w:eastAsia="hr-HR"/>
              </w:rPr>
            </w:pPr>
            <w:r w:rsidRPr="0036295B">
              <w:rPr>
                <w:rFonts w:ascii="Calibri" w:eastAsia="Times New Roman" w:hAnsi="Calibri" w:cs="Calibri"/>
                <w:b/>
                <w:bCs/>
                <w:color w:val="000000"/>
                <w:sz w:val="18"/>
                <w:szCs w:val="18"/>
                <w:lang w:eastAsia="hr-HR"/>
              </w:rPr>
              <w:t>27.926.138,00</w:t>
            </w:r>
          </w:p>
        </w:tc>
        <w:tc>
          <w:tcPr>
            <w:tcW w:w="1276" w:type="dxa"/>
            <w:shd w:val="clear" w:color="auto" w:fill="D9D9D9" w:themeFill="background1" w:themeFillShade="D9"/>
            <w:vAlign w:val="center"/>
            <w:hideMark/>
          </w:tcPr>
          <w:p w14:paraId="280F3E4E" w14:textId="77777777" w:rsidR="0036295B" w:rsidRPr="0036295B" w:rsidRDefault="0036295B" w:rsidP="0036295B">
            <w:pPr>
              <w:spacing w:after="0" w:line="240" w:lineRule="auto"/>
              <w:jc w:val="right"/>
              <w:rPr>
                <w:rFonts w:ascii="Calibri" w:eastAsia="Times New Roman" w:hAnsi="Calibri" w:cs="Calibri"/>
                <w:b/>
                <w:bCs/>
                <w:color w:val="000000"/>
                <w:sz w:val="18"/>
                <w:szCs w:val="18"/>
                <w:lang w:eastAsia="hr-HR"/>
              </w:rPr>
            </w:pPr>
            <w:r w:rsidRPr="0036295B">
              <w:rPr>
                <w:rFonts w:ascii="Calibri" w:eastAsia="Times New Roman" w:hAnsi="Calibri" w:cs="Calibri"/>
                <w:b/>
                <w:bCs/>
                <w:color w:val="000000"/>
                <w:sz w:val="18"/>
                <w:szCs w:val="18"/>
                <w:lang w:eastAsia="hr-HR"/>
              </w:rPr>
              <w:t>28.475.224,00</w:t>
            </w:r>
          </w:p>
        </w:tc>
      </w:tr>
    </w:tbl>
    <w:p w14:paraId="0B0704C0" w14:textId="77777777" w:rsidR="0036295B" w:rsidRPr="0036295B" w:rsidRDefault="0036295B" w:rsidP="0036295B"/>
    <w:p w14:paraId="274E0069" w14:textId="77777777" w:rsidR="009962C8" w:rsidRPr="00083A43" w:rsidRDefault="009962C8" w:rsidP="000B567F">
      <w:pPr>
        <w:spacing w:line="240" w:lineRule="auto"/>
        <w:jc w:val="both"/>
      </w:pPr>
      <w:r w:rsidRPr="00083A43">
        <w:lastRenderedPageBreak/>
        <w:t>Analiza poslovanja Specijalne bolnice za medicinsku rehabilitaciju Varaždinske Toplice pokazuje da je razlog poslovanja s manjkom prihoda nad izdacima u preniskom dodijeljenom mjesečnom limitu, odnosno niskim cijenama usluga koje su vrlo često niže od stvarnog trošk</w:t>
      </w:r>
      <w:r w:rsidR="00083A43">
        <w:t xml:space="preserve">a liječenja. </w:t>
      </w:r>
      <w:r w:rsidRPr="00083A43">
        <w:t>Bolnica ima sklopljeni Ugovor o provođenju bolničke i specijalističko-konzilijarne zdravstvene zaštite sa Hrvatskim zavodom za zdravstveno osiguranje, kojim je definiran način odvijanja i financiranja preko 80% osnovne djelatnosti Specijalne bolnice Varaždinske Toplice, a to je pružanje zdravstvene zaštite.</w:t>
      </w:r>
    </w:p>
    <w:p w14:paraId="76727AA2" w14:textId="77777777" w:rsidR="00083A43" w:rsidRPr="00083A43" w:rsidRDefault="009962C8" w:rsidP="00083A43">
      <w:pPr>
        <w:spacing w:line="240" w:lineRule="auto"/>
        <w:jc w:val="both"/>
      </w:pPr>
      <w:r w:rsidRPr="00083A43">
        <w:t>Zapisnici o međusobnom usklađenju između Specijalne bolnice Varaždinske Toplice i Hrvatskog zavoda za zdravstveno osiguranje pokazuju da je u periodu od 2006.-2018. godine ukupno otpisano zatraženog, pruženog, fakturiranog i kontroliranog rada u visini 1.522.861,06 eura. Pružanje i fakturiranje rada iznad limita nastavljeno je i tijekom 2019. godine te j</w:t>
      </w:r>
      <w:r w:rsidR="00083A43" w:rsidRPr="00083A43">
        <w:t>e</w:t>
      </w:r>
      <w:r w:rsidRPr="00083A43">
        <w:t xml:space="preserve"> Specijalna bo</w:t>
      </w:r>
      <w:r w:rsidR="00083A43" w:rsidRPr="00083A43">
        <w:t>lnica Varaždinske Toplice za 2019. godinu imala 232.920,34 eura više izvršenog rada, a koji je po nepotpisanom Zapisniku o godišnjem obračunu limita i izvršenju rada bolnice i nadalje evidentiran na potraživanjima od HZZO-a u knjigovodstvenim evidencija</w:t>
      </w:r>
      <w:r w:rsidR="00083A43">
        <w:t>ma bolnice</w:t>
      </w:r>
      <w:r w:rsidR="00083A43" w:rsidRPr="00083A43">
        <w:t>.</w:t>
      </w:r>
      <w:r w:rsidR="00083A43">
        <w:t xml:space="preserve"> </w:t>
      </w:r>
      <w:r w:rsidR="00083A43" w:rsidRPr="00083A43">
        <w:t>Da su otpisana potraživanja i primljena sredstva za pokriće troškova evidentirana na poziciji prihoda, sveukupni manjak bi bio daleko manji.</w:t>
      </w:r>
    </w:p>
    <w:p w14:paraId="20D7856D" w14:textId="77777777" w:rsidR="00083A43" w:rsidRPr="00083A43" w:rsidRDefault="00083A43" w:rsidP="00083A43">
      <w:pPr>
        <w:spacing w:before="100" w:beforeAutospacing="1" w:after="100" w:afterAutospacing="1" w:line="240" w:lineRule="auto"/>
        <w:jc w:val="both"/>
        <w:rPr>
          <w:rFonts w:eastAsia="Times New Roman" w:cstheme="minorHAnsi"/>
          <w:lang w:eastAsia="hr-HR"/>
        </w:rPr>
      </w:pPr>
      <w:r w:rsidRPr="00083A43">
        <w:rPr>
          <w:rFonts w:eastAsia="Times New Roman" w:cstheme="minorHAnsi"/>
          <w:lang w:eastAsia="hr-HR"/>
        </w:rPr>
        <w:t xml:space="preserve">Nadalje, COVID kriza, koju nitko nije mogao predvidjeti, dodatno je opteretila naše poslovanje. Iako razumijemo da je pandemija COVID-19 stvorila izazove bez presedana kako za našu bolnicu tako i za cjelokupan sustav općenito, ne smijemo zanemariti dugovanja koja su se nakupila i koje treba riješiti. Kada govorimo o dugovanjima podrazumijevamo neizvršenje limitiranih sredstava kumuliranih tijekom </w:t>
      </w:r>
      <w:proofErr w:type="spellStart"/>
      <w:r w:rsidRPr="00083A43">
        <w:rPr>
          <w:rFonts w:eastAsia="Times New Roman" w:cstheme="minorHAnsi"/>
          <w:lang w:eastAsia="hr-HR"/>
        </w:rPr>
        <w:t>pandemijskih</w:t>
      </w:r>
      <w:proofErr w:type="spellEnd"/>
      <w:r w:rsidRPr="00083A43">
        <w:rPr>
          <w:rFonts w:eastAsia="Times New Roman" w:cstheme="minorHAnsi"/>
          <w:lang w:eastAsia="hr-HR"/>
        </w:rPr>
        <w:t xml:space="preserve"> godina koje za razdoblje od poslovne 2020. do konca mjesec rujna poslovne 2023. godine iznosi 9.079.193,41 eura. Navedeni iznos predstavlja resurs koji je vitalan za pružanje kvalitetne zdravstvene skrbi korisnicima naših usluga i normalno funkcioniranje cijele bolnice. </w:t>
      </w:r>
    </w:p>
    <w:p w14:paraId="072661B8" w14:textId="77777777" w:rsidR="00083A43" w:rsidRPr="00083A43" w:rsidRDefault="00083A43" w:rsidP="00083A43">
      <w:pPr>
        <w:spacing w:before="100" w:beforeAutospacing="1" w:after="100" w:afterAutospacing="1" w:line="240" w:lineRule="auto"/>
        <w:jc w:val="both"/>
        <w:rPr>
          <w:rFonts w:eastAsia="Times New Roman" w:cstheme="minorHAnsi"/>
          <w:lang w:eastAsia="hr-HR"/>
        </w:rPr>
      </w:pPr>
      <w:r>
        <w:rPr>
          <w:rFonts w:eastAsia="Times New Roman" w:cstheme="minorHAnsi"/>
          <w:lang w:eastAsia="hr-HR"/>
        </w:rPr>
        <w:t>Neizvršenje</w:t>
      </w:r>
      <w:r w:rsidRPr="00083A43">
        <w:rPr>
          <w:rFonts w:eastAsia="Times New Roman" w:cstheme="minorHAnsi"/>
          <w:lang w:eastAsia="hr-HR"/>
        </w:rPr>
        <w:t xml:space="preserve"> limitiranih stavaka u svojim financijskim izvješćima </w:t>
      </w:r>
      <w:r>
        <w:rPr>
          <w:rFonts w:eastAsia="Times New Roman" w:cstheme="minorHAnsi"/>
          <w:lang w:eastAsia="hr-HR"/>
        </w:rPr>
        <w:t>u navedenom</w:t>
      </w:r>
      <w:r w:rsidRPr="00083A43">
        <w:rPr>
          <w:rFonts w:eastAsia="Times New Roman" w:cstheme="minorHAnsi"/>
          <w:lang w:eastAsia="hr-HR"/>
        </w:rPr>
        <w:t xml:space="preserve"> iznos</w:t>
      </w:r>
      <w:r>
        <w:rPr>
          <w:rFonts w:eastAsia="Times New Roman" w:cstheme="minorHAnsi"/>
          <w:lang w:eastAsia="hr-HR"/>
        </w:rPr>
        <w:t>u</w:t>
      </w:r>
      <w:r w:rsidRPr="00083A43">
        <w:rPr>
          <w:rFonts w:eastAsia="Times New Roman" w:cstheme="minorHAnsi"/>
          <w:lang w:eastAsia="hr-HR"/>
        </w:rPr>
        <w:t xml:space="preserve"> evidentiramo kao obveze što u konačnici rezultira iskazivanjem značajnog manjka prihoda iz prethodnih godina, iako su ti prihodi trebali biti priznati u prihod. Ovo nadalje dovodi do dodatnih problema jer se troškovi održavanja bolnice i plaća radnika nisu smanjivali, već su, naprotiv, kontinuirano rasli, dok su prihodi koji su ih trebali pratiti mjesečno smanjivani (stvarane obveze) zbog neizvršenja limita.</w:t>
      </w:r>
    </w:p>
    <w:p w14:paraId="667F8F62" w14:textId="77777777" w:rsidR="00300AEF" w:rsidRDefault="00481FBE" w:rsidP="00083A43">
      <w:pPr>
        <w:spacing w:after="0" w:line="240" w:lineRule="auto"/>
        <w:jc w:val="both"/>
      </w:pPr>
      <w:r w:rsidRPr="000B567F">
        <w:t xml:space="preserve">U </w:t>
      </w:r>
      <w:r w:rsidR="009B144D" w:rsidRPr="000B567F">
        <w:t>procjeni rezultata poslovanja</w:t>
      </w:r>
      <w:r w:rsidRPr="000B567F">
        <w:t xml:space="preserve"> za 202</w:t>
      </w:r>
      <w:r w:rsidR="00083A43" w:rsidRPr="000B567F">
        <w:t>4</w:t>
      </w:r>
      <w:r w:rsidRPr="000B567F">
        <w:t>. godinu</w:t>
      </w:r>
      <w:r w:rsidR="00106BBD" w:rsidRPr="000B567F">
        <w:t xml:space="preserve"> planiraju se prihodi poslovanja u iznosu </w:t>
      </w:r>
      <w:r w:rsidR="00083A43" w:rsidRPr="000B567F">
        <w:t>26.862.837,00</w:t>
      </w:r>
      <w:r w:rsidR="00106BBD" w:rsidRPr="000B567F">
        <w:t xml:space="preserve"> kuna</w:t>
      </w:r>
      <w:r w:rsidRPr="000B567F">
        <w:t xml:space="preserve">. </w:t>
      </w:r>
      <w:r w:rsidR="003824B6" w:rsidRPr="000B567F">
        <w:t>Planiraju se</w:t>
      </w:r>
      <w:r w:rsidRPr="000B567F">
        <w:t xml:space="preserve"> primici </w:t>
      </w:r>
      <w:r w:rsidR="00083A43" w:rsidRPr="000B567F">
        <w:t xml:space="preserve">za </w:t>
      </w:r>
      <w:r w:rsidR="003824B6" w:rsidRPr="000B567F">
        <w:t xml:space="preserve">sanaciju lijekova i potrošnog medicinskog materijala, </w:t>
      </w:r>
      <w:r w:rsidR="00300AEF" w:rsidRPr="000B567F">
        <w:t>iz EU sredstava planirana su sredstva za refundaciju plaća pripravnika medicinske struke, veći prihod na ime dopunskog osiguranja i osnovnog limita te veći iznos vlastitih prihoda od ugostiteljstva i smještaja budući da je Bolnica proglašena prihvatnim centrom za prihvat i smještaj raseljenih osoba iz Ukrajine pod pretpostavkom da će situacija uzrokovana pandemijom COVID-19 i nadalje jenjavati.</w:t>
      </w:r>
      <w:r w:rsidR="00C10951" w:rsidRPr="000B567F">
        <w:t xml:space="preserve"> </w:t>
      </w:r>
    </w:p>
    <w:p w14:paraId="46AC7DA4" w14:textId="77777777" w:rsidR="007218EE" w:rsidRPr="000B567F" w:rsidRDefault="007218EE" w:rsidP="00083A43">
      <w:pPr>
        <w:spacing w:after="0" w:line="240" w:lineRule="auto"/>
        <w:jc w:val="both"/>
      </w:pPr>
    </w:p>
    <w:p w14:paraId="625CCAA7" w14:textId="77777777" w:rsidR="00481FBE" w:rsidRPr="000B567F" w:rsidRDefault="00C10951" w:rsidP="000B567F">
      <w:pPr>
        <w:spacing w:after="0" w:line="240" w:lineRule="auto"/>
        <w:jc w:val="both"/>
        <w:rPr>
          <w:rFonts w:ascii="Calibri" w:eastAsia="Calibri" w:hAnsi="Calibri" w:cs="Calibri"/>
        </w:rPr>
      </w:pPr>
      <w:r w:rsidRPr="000B567F">
        <w:rPr>
          <w:rFonts w:ascii="Calibri" w:eastAsia="Calibri" w:hAnsi="Calibri" w:cs="Calibri"/>
        </w:rPr>
        <w:t xml:space="preserve">Situacija uzrokovana </w:t>
      </w:r>
      <w:proofErr w:type="spellStart"/>
      <w:r w:rsidRPr="000B567F">
        <w:rPr>
          <w:rFonts w:ascii="Calibri" w:eastAsia="Calibri" w:hAnsi="Calibri" w:cs="Calibri"/>
        </w:rPr>
        <w:t>koronavirusom</w:t>
      </w:r>
      <w:proofErr w:type="spellEnd"/>
      <w:r w:rsidR="002B5B53" w:rsidRPr="000B567F">
        <w:rPr>
          <w:rFonts w:ascii="Calibri" w:eastAsia="Calibri" w:hAnsi="Calibri" w:cs="Calibri"/>
        </w:rPr>
        <w:t xml:space="preserve"> COVID-19 te</w:t>
      </w:r>
      <w:r w:rsidR="00750EAB" w:rsidRPr="000B567F">
        <w:rPr>
          <w:rFonts w:ascii="Calibri" w:eastAsia="Calibri" w:hAnsi="Calibri" w:cs="Calibri"/>
        </w:rPr>
        <w:t xml:space="preserve"> </w:t>
      </w:r>
      <w:r w:rsidRPr="000B567F">
        <w:rPr>
          <w:rFonts w:ascii="Calibri" w:eastAsia="Calibri" w:hAnsi="Calibri" w:cs="Calibri"/>
        </w:rPr>
        <w:t>uvođenje karantene dovela je do toga da je</w:t>
      </w:r>
      <w:r w:rsidR="00D2487F" w:rsidRPr="000B567F">
        <w:rPr>
          <w:rFonts w:ascii="Calibri" w:eastAsia="Calibri" w:hAnsi="Calibri" w:cs="Calibri"/>
        </w:rPr>
        <w:t xml:space="preserve"> u </w:t>
      </w:r>
      <w:r w:rsidR="000B567F" w:rsidRPr="000B567F">
        <w:rPr>
          <w:rFonts w:ascii="Calibri" w:eastAsia="Calibri" w:hAnsi="Calibri" w:cs="Calibri"/>
        </w:rPr>
        <w:t>prethodnim</w:t>
      </w:r>
      <w:r w:rsidR="00300AEF" w:rsidRPr="000B567F">
        <w:rPr>
          <w:rFonts w:ascii="Calibri" w:eastAsia="Calibri" w:hAnsi="Calibri" w:cs="Calibri"/>
        </w:rPr>
        <w:t xml:space="preserve"> </w:t>
      </w:r>
      <w:r w:rsidR="000B567F" w:rsidRPr="000B567F">
        <w:rPr>
          <w:rFonts w:ascii="Calibri" w:eastAsia="Calibri" w:hAnsi="Calibri" w:cs="Calibri"/>
        </w:rPr>
        <w:t xml:space="preserve">godinama </w:t>
      </w:r>
      <w:r w:rsidRPr="000B567F">
        <w:rPr>
          <w:rFonts w:ascii="Calibri" w:eastAsia="Calibri" w:hAnsi="Calibri" w:cs="Calibri"/>
        </w:rPr>
        <w:t xml:space="preserve">ostvareno manje prihoda </w:t>
      </w:r>
      <w:r w:rsidR="00D2487F" w:rsidRPr="000B567F">
        <w:rPr>
          <w:rFonts w:ascii="Calibri" w:eastAsia="Calibri" w:hAnsi="Calibri" w:cs="Calibri"/>
        </w:rPr>
        <w:t xml:space="preserve">od planiranog i to najvećim dijelom </w:t>
      </w:r>
      <w:r w:rsidR="002B5B53" w:rsidRPr="000B567F">
        <w:rPr>
          <w:rFonts w:ascii="Calibri" w:eastAsia="Calibri" w:hAnsi="Calibri" w:cs="Calibri"/>
        </w:rPr>
        <w:t xml:space="preserve">od dopunskog osiguranja i participacija i </w:t>
      </w:r>
      <w:r w:rsidRPr="000B567F">
        <w:rPr>
          <w:rFonts w:ascii="Calibri" w:eastAsia="Calibri" w:hAnsi="Calibri" w:cs="Calibri"/>
        </w:rPr>
        <w:t xml:space="preserve"> pružanja usluga na slobodnom tržištu</w:t>
      </w:r>
      <w:r w:rsidR="00D2487F" w:rsidRPr="000B567F">
        <w:rPr>
          <w:rFonts w:ascii="Calibri" w:eastAsia="Calibri" w:hAnsi="Calibri" w:cs="Calibri"/>
        </w:rPr>
        <w:t xml:space="preserve"> </w:t>
      </w:r>
      <w:r w:rsidRPr="000B567F">
        <w:rPr>
          <w:rFonts w:ascii="Calibri" w:eastAsia="Calibri" w:hAnsi="Calibri" w:cs="Calibri"/>
        </w:rPr>
        <w:t>. Mjere su bile zatvaranje poduzeća i obrta koji se bave uslužnim djelatnostima, u</w:t>
      </w:r>
      <w:r w:rsidR="002B5B53" w:rsidRPr="000B567F">
        <w:rPr>
          <w:rFonts w:ascii="Calibri" w:eastAsia="Calibri" w:hAnsi="Calibri" w:cs="Calibri"/>
        </w:rPr>
        <w:t xml:space="preserve">gostiteljstvom, trgovinom i sl., stoga planirane prihode od ugostiteljstva, smještaja, zdravstvenih programa i trgovine nije bilo moguće ostvariti u planiranom obimu. Isto se odrazilo na smanjenje broja korisnika na liječenju te posljedično i na prihode od dopunskog poslovanja i participacija. </w:t>
      </w:r>
    </w:p>
    <w:p w14:paraId="1CD74CD9" w14:textId="77777777" w:rsidR="00083A43" w:rsidRPr="000B567F" w:rsidRDefault="00083A43" w:rsidP="002B5B53">
      <w:pPr>
        <w:spacing w:after="0" w:line="240" w:lineRule="auto"/>
        <w:ind w:firstLine="708"/>
        <w:jc w:val="both"/>
        <w:rPr>
          <w:rFonts w:ascii="Calibri" w:eastAsia="Calibri" w:hAnsi="Calibri" w:cs="Calibri"/>
        </w:rPr>
      </w:pPr>
    </w:p>
    <w:p w14:paraId="0AABF50E" w14:textId="77777777" w:rsidR="000B567F" w:rsidRDefault="000B567F" w:rsidP="002B5B53">
      <w:pPr>
        <w:spacing w:after="0" w:line="240" w:lineRule="auto"/>
        <w:ind w:firstLine="708"/>
        <w:jc w:val="both"/>
        <w:rPr>
          <w:rFonts w:ascii="Calibri" w:eastAsia="Calibri" w:hAnsi="Calibri" w:cs="Calibri"/>
          <w:color w:val="FF0000"/>
        </w:rPr>
      </w:pPr>
    </w:p>
    <w:p w14:paraId="01E4D3DC" w14:textId="77777777" w:rsidR="000B567F" w:rsidRDefault="000B567F" w:rsidP="002B5B53">
      <w:pPr>
        <w:spacing w:after="0" w:line="240" w:lineRule="auto"/>
        <w:ind w:firstLine="708"/>
        <w:jc w:val="both"/>
        <w:rPr>
          <w:rFonts w:ascii="Calibri" w:eastAsia="Calibri" w:hAnsi="Calibri" w:cs="Calibri"/>
          <w:color w:val="FF0000"/>
        </w:rPr>
      </w:pPr>
    </w:p>
    <w:p w14:paraId="42A0541F" w14:textId="77777777" w:rsidR="000B567F" w:rsidRDefault="000B567F" w:rsidP="002B5B53">
      <w:pPr>
        <w:spacing w:after="0" w:line="240" w:lineRule="auto"/>
        <w:ind w:firstLine="708"/>
        <w:jc w:val="both"/>
        <w:rPr>
          <w:rFonts w:ascii="Calibri" w:eastAsia="Calibri" w:hAnsi="Calibri" w:cs="Calibri"/>
          <w:color w:val="FF0000"/>
        </w:rPr>
      </w:pPr>
    </w:p>
    <w:p w14:paraId="1BC801C2" w14:textId="77777777" w:rsidR="00083A43" w:rsidRPr="008E0491" w:rsidRDefault="00083A43" w:rsidP="002B5B53">
      <w:pPr>
        <w:spacing w:after="0" w:line="240" w:lineRule="auto"/>
        <w:ind w:firstLine="708"/>
        <w:jc w:val="both"/>
        <w:rPr>
          <w:rFonts w:ascii="Calibri" w:eastAsia="Calibri" w:hAnsi="Calibri" w:cs="Calibri"/>
          <w:color w:val="FF0000"/>
        </w:rPr>
      </w:pPr>
    </w:p>
    <w:p w14:paraId="62F82772" w14:textId="77777777" w:rsidR="008E0491" w:rsidRPr="008E0491" w:rsidRDefault="00481FBE" w:rsidP="008E0491">
      <w:pPr>
        <w:pStyle w:val="Naslov2"/>
        <w:spacing w:line="240" w:lineRule="auto"/>
        <w:rPr>
          <w:b/>
          <w:color w:val="1F4E79" w:themeColor="accent1" w:themeShade="80"/>
        </w:rPr>
      </w:pPr>
      <w:r w:rsidRPr="00675EDC">
        <w:rPr>
          <w:b/>
          <w:color w:val="1F4E79" w:themeColor="accent1" w:themeShade="80"/>
        </w:rPr>
        <w:lastRenderedPageBreak/>
        <w:t>Tablica 2. Izvršenje rashoda i izdataka</w:t>
      </w: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271"/>
        <w:gridCol w:w="1271"/>
        <w:gridCol w:w="1305"/>
        <w:gridCol w:w="1309"/>
        <w:gridCol w:w="1277"/>
        <w:gridCol w:w="1271"/>
      </w:tblGrid>
      <w:tr w:rsidR="008E0491" w:rsidRPr="008E0491" w14:paraId="21D6AF59" w14:textId="77777777" w:rsidTr="008E0491">
        <w:trPr>
          <w:trHeight w:val="821"/>
        </w:trPr>
        <w:tc>
          <w:tcPr>
            <w:tcW w:w="1414" w:type="dxa"/>
            <w:shd w:val="clear" w:color="000000" w:fill="D9D9D9"/>
            <w:vAlign w:val="center"/>
            <w:hideMark/>
          </w:tcPr>
          <w:p w14:paraId="650E348D" w14:textId="77777777" w:rsidR="008E0491" w:rsidRPr="008E0491" w:rsidRDefault="008E0491" w:rsidP="008E0491">
            <w:pPr>
              <w:spacing w:after="0" w:line="240" w:lineRule="auto"/>
              <w:jc w:val="center"/>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PRIHODI/PRIMICI PO VRSTI</w:t>
            </w:r>
          </w:p>
        </w:tc>
        <w:tc>
          <w:tcPr>
            <w:tcW w:w="1209" w:type="dxa"/>
            <w:shd w:val="clear" w:color="000000" w:fill="D9D9D9"/>
            <w:vAlign w:val="center"/>
            <w:hideMark/>
          </w:tcPr>
          <w:p w14:paraId="6D02F3E4" w14:textId="77777777" w:rsidR="008E0491" w:rsidRPr="008E0491" w:rsidRDefault="008E0491" w:rsidP="008E0491">
            <w:pPr>
              <w:spacing w:after="0" w:line="240" w:lineRule="auto"/>
              <w:jc w:val="center"/>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IZVRŠENJE</w:t>
            </w:r>
          </w:p>
          <w:p w14:paraId="25535689" w14:textId="77777777" w:rsidR="008E0491" w:rsidRPr="008E0491" w:rsidRDefault="008E0491" w:rsidP="008E0491">
            <w:pPr>
              <w:spacing w:after="0" w:line="240" w:lineRule="auto"/>
              <w:jc w:val="center"/>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2022</w:t>
            </w:r>
            <w:r w:rsidR="000B567F">
              <w:rPr>
                <w:rFonts w:ascii="Calibri" w:eastAsia="Times New Roman" w:hAnsi="Calibri" w:cs="Calibri"/>
                <w:color w:val="000000"/>
                <w:sz w:val="18"/>
                <w:szCs w:val="18"/>
                <w:lang w:eastAsia="hr-HR"/>
              </w:rPr>
              <w:t>.</w:t>
            </w:r>
          </w:p>
        </w:tc>
        <w:tc>
          <w:tcPr>
            <w:tcW w:w="1209" w:type="dxa"/>
            <w:shd w:val="clear" w:color="000000" w:fill="D9D9D9"/>
            <w:vAlign w:val="center"/>
            <w:hideMark/>
          </w:tcPr>
          <w:p w14:paraId="092B7E0B" w14:textId="77777777" w:rsidR="008E0491" w:rsidRPr="008E0491" w:rsidRDefault="008E0491" w:rsidP="008E0491">
            <w:pPr>
              <w:spacing w:after="0" w:line="240" w:lineRule="auto"/>
              <w:jc w:val="center"/>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IZVRŠENJE</w:t>
            </w:r>
          </w:p>
          <w:p w14:paraId="648F2F48" w14:textId="77777777" w:rsidR="008E0491" w:rsidRPr="008E0491" w:rsidRDefault="008E0491" w:rsidP="008E0491">
            <w:pPr>
              <w:spacing w:after="0" w:line="240" w:lineRule="auto"/>
              <w:jc w:val="center"/>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 xml:space="preserve"> I-VIII 2023.</w:t>
            </w:r>
          </w:p>
        </w:tc>
        <w:tc>
          <w:tcPr>
            <w:tcW w:w="1412" w:type="dxa"/>
            <w:shd w:val="clear" w:color="000000" w:fill="D9D9D9"/>
            <w:vAlign w:val="center"/>
            <w:hideMark/>
          </w:tcPr>
          <w:p w14:paraId="6415BB57" w14:textId="77777777" w:rsidR="008E0491" w:rsidRPr="008E0491" w:rsidRDefault="008E0491" w:rsidP="008E0491">
            <w:pPr>
              <w:spacing w:after="0" w:line="240" w:lineRule="auto"/>
              <w:jc w:val="center"/>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 xml:space="preserve">PROCJENA IZVRŠENJA </w:t>
            </w:r>
          </w:p>
          <w:p w14:paraId="30C0DECF" w14:textId="77777777" w:rsidR="008E0491" w:rsidRPr="008E0491" w:rsidRDefault="008E0491" w:rsidP="008E0491">
            <w:pPr>
              <w:spacing w:after="0" w:line="240" w:lineRule="auto"/>
              <w:jc w:val="center"/>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I-XII 2023</w:t>
            </w:r>
            <w:r w:rsidR="000B567F">
              <w:rPr>
                <w:rFonts w:ascii="Calibri" w:eastAsia="Times New Roman" w:hAnsi="Calibri" w:cs="Calibri"/>
                <w:color w:val="000000"/>
                <w:sz w:val="18"/>
                <w:szCs w:val="18"/>
                <w:lang w:eastAsia="hr-HR"/>
              </w:rPr>
              <w:t>.</w:t>
            </w:r>
          </w:p>
        </w:tc>
        <w:tc>
          <w:tcPr>
            <w:tcW w:w="1424" w:type="dxa"/>
            <w:shd w:val="clear" w:color="000000" w:fill="D9D9D9"/>
            <w:vAlign w:val="center"/>
            <w:hideMark/>
          </w:tcPr>
          <w:p w14:paraId="72307BBF" w14:textId="77777777" w:rsidR="008E0491" w:rsidRPr="008E0491" w:rsidRDefault="008E0491" w:rsidP="008E0491">
            <w:pPr>
              <w:spacing w:after="0" w:line="240" w:lineRule="auto"/>
              <w:jc w:val="center"/>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PROCJENA</w:t>
            </w:r>
          </w:p>
          <w:p w14:paraId="49083257" w14:textId="77777777" w:rsidR="008E0491" w:rsidRPr="008E0491" w:rsidRDefault="008E0491" w:rsidP="008E0491">
            <w:pPr>
              <w:spacing w:after="0" w:line="240" w:lineRule="auto"/>
              <w:jc w:val="center"/>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2024</w:t>
            </w:r>
            <w:r w:rsidR="000B567F">
              <w:rPr>
                <w:rFonts w:ascii="Calibri" w:eastAsia="Times New Roman" w:hAnsi="Calibri" w:cs="Calibri"/>
                <w:color w:val="000000"/>
                <w:sz w:val="18"/>
                <w:szCs w:val="18"/>
                <w:lang w:eastAsia="hr-HR"/>
              </w:rPr>
              <w:t>.</w:t>
            </w:r>
          </w:p>
        </w:tc>
        <w:tc>
          <w:tcPr>
            <w:tcW w:w="1294" w:type="dxa"/>
            <w:shd w:val="clear" w:color="000000" w:fill="D9D9D9"/>
            <w:vAlign w:val="center"/>
            <w:hideMark/>
          </w:tcPr>
          <w:p w14:paraId="5A80196F" w14:textId="77777777" w:rsidR="008E0491" w:rsidRPr="008E0491" w:rsidRDefault="008E0491" w:rsidP="008E0491">
            <w:pPr>
              <w:spacing w:after="0" w:line="240" w:lineRule="auto"/>
              <w:jc w:val="center"/>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PROCJENA</w:t>
            </w:r>
            <w:r w:rsidRPr="008E0491">
              <w:rPr>
                <w:rFonts w:ascii="Calibri" w:eastAsia="Times New Roman" w:hAnsi="Calibri" w:cs="Calibri"/>
                <w:color w:val="000000"/>
                <w:sz w:val="18"/>
                <w:szCs w:val="18"/>
                <w:lang w:eastAsia="hr-HR"/>
              </w:rPr>
              <w:br/>
              <w:t>2025</w:t>
            </w:r>
            <w:r w:rsidR="000B567F">
              <w:rPr>
                <w:rFonts w:ascii="Calibri" w:eastAsia="Times New Roman" w:hAnsi="Calibri" w:cs="Calibri"/>
                <w:color w:val="000000"/>
                <w:sz w:val="18"/>
                <w:szCs w:val="18"/>
                <w:lang w:eastAsia="hr-HR"/>
              </w:rPr>
              <w:t>.</w:t>
            </w:r>
          </w:p>
        </w:tc>
        <w:tc>
          <w:tcPr>
            <w:tcW w:w="1228" w:type="dxa"/>
            <w:shd w:val="clear" w:color="000000" w:fill="D9D9D9"/>
            <w:vAlign w:val="center"/>
            <w:hideMark/>
          </w:tcPr>
          <w:p w14:paraId="7F5C8B64" w14:textId="77777777" w:rsidR="008E0491" w:rsidRPr="008E0491" w:rsidRDefault="008E0491" w:rsidP="008E0491">
            <w:pPr>
              <w:spacing w:after="0" w:line="240" w:lineRule="auto"/>
              <w:jc w:val="center"/>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PROCJENA</w:t>
            </w:r>
          </w:p>
          <w:p w14:paraId="1C5C73E4" w14:textId="77777777" w:rsidR="008E0491" w:rsidRPr="008E0491" w:rsidRDefault="008E0491" w:rsidP="008E0491">
            <w:pPr>
              <w:spacing w:after="0" w:line="240" w:lineRule="auto"/>
              <w:jc w:val="center"/>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2026</w:t>
            </w:r>
            <w:r w:rsidR="000B567F">
              <w:rPr>
                <w:rFonts w:ascii="Calibri" w:eastAsia="Times New Roman" w:hAnsi="Calibri" w:cs="Calibri"/>
                <w:color w:val="000000"/>
                <w:sz w:val="18"/>
                <w:szCs w:val="18"/>
                <w:lang w:eastAsia="hr-HR"/>
              </w:rPr>
              <w:t>.</w:t>
            </w:r>
          </w:p>
        </w:tc>
      </w:tr>
      <w:tr w:rsidR="008E0491" w:rsidRPr="008E0491" w14:paraId="09828221" w14:textId="77777777" w:rsidTr="008E0491">
        <w:trPr>
          <w:trHeight w:val="499"/>
        </w:trPr>
        <w:tc>
          <w:tcPr>
            <w:tcW w:w="1414" w:type="dxa"/>
            <w:shd w:val="clear" w:color="auto" w:fill="auto"/>
            <w:vAlign w:val="center"/>
            <w:hideMark/>
          </w:tcPr>
          <w:p w14:paraId="4411A1AE" w14:textId="77777777" w:rsidR="008E0491" w:rsidRPr="008E0491" w:rsidRDefault="008E0491" w:rsidP="008E0491">
            <w:pPr>
              <w:spacing w:after="0" w:line="240" w:lineRule="auto"/>
              <w:rPr>
                <w:rFonts w:ascii="Calibri" w:eastAsia="Times New Roman" w:hAnsi="Calibri" w:cs="Calibri"/>
                <w:color w:val="000000"/>
                <w:sz w:val="18"/>
                <w:szCs w:val="18"/>
                <w:lang w:eastAsia="hr-HR"/>
              </w:rPr>
            </w:pPr>
            <w:r>
              <w:rPr>
                <w:rFonts w:ascii="Calibri" w:eastAsia="Times New Roman" w:hAnsi="Calibri" w:cs="Calibri"/>
                <w:color w:val="000000"/>
                <w:sz w:val="18"/>
                <w:szCs w:val="18"/>
                <w:lang w:eastAsia="hr-HR"/>
              </w:rPr>
              <w:t>Rashodi poslovanja</w:t>
            </w:r>
          </w:p>
        </w:tc>
        <w:tc>
          <w:tcPr>
            <w:tcW w:w="1209" w:type="dxa"/>
            <w:shd w:val="clear" w:color="auto" w:fill="auto"/>
            <w:vAlign w:val="center"/>
            <w:hideMark/>
          </w:tcPr>
          <w:p w14:paraId="73745A76" w14:textId="77777777" w:rsidR="008E0491" w:rsidRPr="008E0491" w:rsidRDefault="008E0491" w:rsidP="008E0491">
            <w:pPr>
              <w:spacing w:after="0" w:line="240" w:lineRule="auto"/>
              <w:jc w:val="right"/>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17.483.328,02</w:t>
            </w:r>
          </w:p>
        </w:tc>
        <w:tc>
          <w:tcPr>
            <w:tcW w:w="1209" w:type="dxa"/>
            <w:shd w:val="clear" w:color="auto" w:fill="auto"/>
            <w:vAlign w:val="center"/>
            <w:hideMark/>
          </w:tcPr>
          <w:p w14:paraId="51BF614B" w14:textId="77777777" w:rsidR="008E0491" w:rsidRPr="008E0491" w:rsidRDefault="008E0491" w:rsidP="008E0491">
            <w:pPr>
              <w:spacing w:after="0" w:line="240" w:lineRule="auto"/>
              <w:jc w:val="right"/>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12.797.077,54</w:t>
            </w:r>
          </w:p>
        </w:tc>
        <w:tc>
          <w:tcPr>
            <w:tcW w:w="1412" w:type="dxa"/>
            <w:shd w:val="clear" w:color="auto" w:fill="auto"/>
            <w:vAlign w:val="center"/>
            <w:hideMark/>
          </w:tcPr>
          <w:p w14:paraId="360460F9" w14:textId="77777777" w:rsidR="008E0491" w:rsidRPr="008E0491" w:rsidRDefault="008E0491" w:rsidP="008E0491">
            <w:pPr>
              <w:spacing w:after="0" w:line="240" w:lineRule="auto"/>
              <w:jc w:val="right"/>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20.469.347,00</w:t>
            </w:r>
          </w:p>
        </w:tc>
        <w:tc>
          <w:tcPr>
            <w:tcW w:w="1424" w:type="dxa"/>
            <w:shd w:val="clear" w:color="auto" w:fill="auto"/>
            <w:vAlign w:val="center"/>
            <w:hideMark/>
          </w:tcPr>
          <w:p w14:paraId="61090B6B" w14:textId="77777777" w:rsidR="008E0491" w:rsidRPr="008E0491" w:rsidRDefault="008E0491" w:rsidP="008E0491">
            <w:pPr>
              <w:spacing w:after="0" w:line="240" w:lineRule="auto"/>
              <w:jc w:val="right"/>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21.527.231,00</w:t>
            </w:r>
          </w:p>
        </w:tc>
        <w:tc>
          <w:tcPr>
            <w:tcW w:w="1294" w:type="dxa"/>
            <w:shd w:val="clear" w:color="auto" w:fill="auto"/>
            <w:vAlign w:val="center"/>
            <w:hideMark/>
          </w:tcPr>
          <w:p w14:paraId="3307F558" w14:textId="77777777" w:rsidR="008E0491" w:rsidRPr="008E0491" w:rsidRDefault="008E0491" w:rsidP="008E0491">
            <w:pPr>
              <w:spacing w:after="0" w:line="240" w:lineRule="auto"/>
              <w:jc w:val="right"/>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22.326.641,00</w:t>
            </w:r>
          </w:p>
        </w:tc>
        <w:tc>
          <w:tcPr>
            <w:tcW w:w="1228" w:type="dxa"/>
            <w:shd w:val="clear" w:color="auto" w:fill="auto"/>
            <w:vAlign w:val="center"/>
            <w:hideMark/>
          </w:tcPr>
          <w:p w14:paraId="535BF2E8" w14:textId="77777777" w:rsidR="008E0491" w:rsidRPr="008E0491" w:rsidRDefault="008E0491" w:rsidP="008E0491">
            <w:pPr>
              <w:spacing w:after="0" w:line="240" w:lineRule="auto"/>
              <w:jc w:val="right"/>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23.386.370,00</w:t>
            </w:r>
          </w:p>
        </w:tc>
      </w:tr>
      <w:tr w:rsidR="008E0491" w:rsidRPr="008E0491" w14:paraId="4B21FB00" w14:textId="77777777" w:rsidTr="008E0491">
        <w:trPr>
          <w:trHeight w:val="982"/>
        </w:trPr>
        <w:tc>
          <w:tcPr>
            <w:tcW w:w="1414" w:type="dxa"/>
            <w:shd w:val="clear" w:color="auto" w:fill="auto"/>
            <w:vAlign w:val="center"/>
            <w:hideMark/>
          </w:tcPr>
          <w:p w14:paraId="6EC6E947" w14:textId="77777777" w:rsidR="008E0491" w:rsidRPr="008E0491" w:rsidRDefault="008E0491" w:rsidP="008E0491">
            <w:pPr>
              <w:spacing w:after="0" w:line="240" w:lineRule="auto"/>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Rashodi za nabavu  nefinancijske imovine</w:t>
            </w:r>
          </w:p>
        </w:tc>
        <w:tc>
          <w:tcPr>
            <w:tcW w:w="1209" w:type="dxa"/>
            <w:shd w:val="clear" w:color="auto" w:fill="auto"/>
            <w:vAlign w:val="center"/>
            <w:hideMark/>
          </w:tcPr>
          <w:p w14:paraId="5FF038F6" w14:textId="77777777" w:rsidR="008E0491" w:rsidRPr="008E0491" w:rsidRDefault="008E0491" w:rsidP="008E0491">
            <w:pPr>
              <w:spacing w:after="0" w:line="240" w:lineRule="auto"/>
              <w:jc w:val="right"/>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10.793.291,31</w:t>
            </w:r>
          </w:p>
        </w:tc>
        <w:tc>
          <w:tcPr>
            <w:tcW w:w="1209" w:type="dxa"/>
            <w:shd w:val="clear" w:color="auto" w:fill="auto"/>
            <w:vAlign w:val="center"/>
            <w:hideMark/>
          </w:tcPr>
          <w:p w14:paraId="1DC60C10" w14:textId="77777777" w:rsidR="008E0491" w:rsidRPr="008E0491" w:rsidRDefault="008E0491" w:rsidP="008E0491">
            <w:pPr>
              <w:spacing w:after="0" w:line="240" w:lineRule="auto"/>
              <w:jc w:val="right"/>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3.017.060,06</w:t>
            </w:r>
          </w:p>
        </w:tc>
        <w:tc>
          <w:tcPr>
            <w:tcW w:w="1412" w:type="dxa"/>
            <w:shd w:val="clear" w:color="auto" w:fill="auto"/>
            <w:vAlign w:val="center"/>
            <w:hideMark/>
          </w:tcPr>
          <w:p w14:paraId="51C97B5B" w14:textId="77777777" w:rsidR="008E0491" w:rsidRPr="008E0491" w:rsidRDefault="008E0491" w:rsidP="008E0491">
            <w:pPr>
              <w:spacing w:after="0" w:line="240" w:lineRule="auto"/>
              <w:jc w:val="right"/>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3.708.925,00</w:t>
            </w:r>
          </w:p>
        </w:tc>
        <w:tc>
          <w:tcPr>
            <w:tcW w:w="1424" w:type="dxa"/>
            <w:shd w:val="clear" w:color="auto" w:fill="auto"/>
            <w:vAlign w:val="center"/>
            <w:hideMark/>
          </w:tcPr>
          <w:p w14:paraId="398E3F14" w14:textId="77777777" w:rsidR="008E0491" w:rsidRPr="008E0491" w:rsidRDefault="00E70124" w:rsidP="008E0491">
            <w:pPr>
              <w:spacing w:after="0" w:line="240" w:lineRule="auto"/>
              <w:jc w:val="right"/>
              <w:rPr>
                <w:rFonts w:ascii="Calibri" w:eastAsia="Times New Roman" w:hAnsi="Calibri" w:cs="Calibri"/>
                <w:color w:val="000000"/>
                <w:sz w:val="18"/>
                <w:szCs w:val="18"/>
                <w:lang w:eastAsia="hr-HR"/>
              </w:rPr>
            </w:pPr>
            <w:r>
              <w:rPr>
                <w:rFonts w:ascii="Calibri" w:eastAsia="Times New Roman" w:hAnsi="Calibri" w:cs="Calibri"/>
                <w:color w:val="000000"/>
                <w:sz w:val="18"/>
                <w:szCs w:val="18"/>
                <w:lang w:eastAsia="hr-HR"/>
              </w:rPr>
              <w:t>1.893.611,00</w:t>
            </w:r>
          </w:p>
        </w:tc>
        <w:tc>
          <w:tcPr>
            <w:tcW w:w="1294" w:type="dxa"/>
            <w:shd w:val="clear" w:color="auto" w:fill="auto"/>
            <w:vAlign w:val="center"/>
            <w:hideMark/>
          </w:tcPr>
          <w:p w14:paraId="2116C71F" w14:textId="77777777" w:rsidR="008E0491" w:rsidRPr="008E0491" w:rsidRDefault="008E0491" w:rsidP="008E0491">
            <w:pPr>
              <w:spacing w:after="0" w:line="240" w:lineRule="auto"/>
              <w:jc w:val="right"/>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951.000,00</w:t>
            </w:r>
          </w:p>
        </w:tc>
        <w:tc>
          <w:tcPr>
            <w:tcW w:w="1228" w:type="dxa"/>
            <w:shd w:val="clear" w:color="auto" w:fill="auto"/>
            <w:vAlign w:val="center"/>
            <w:hideMark/>
          </w:tcPr>
          <w:p w14:paraId="01E1B679" w14:textId="77777777" w:rsidR="008E0491" w:rsidRPr="008E0491" w:rsidRDefault="008E0491" w:rsidP="008E0491">
            <w:pPr>
              <w:spacing w:after="0" w:line="240" w:lineRule="auto"/>
              <w:jc w:val="right"/>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970.891,00</w:t>
            </w:r>
          </w:p>
        </w:tc>
      </w:tr>
      <w:tr w:rsidR="008E0491" w:rsidRPr="008E0491" w14:paraId="6556A0E1" w14:textId="77777777" w:rsidTr="008E0491">
        <w:trPr>
          <w:trHeight w:val="982"/>
        </w:trPr>
        <w:tc>
          <w:tcPr>
            <w:tcW w:w="1414" w:type="dxa"/>
            <w:shd w:val="clear" w:color="auto" w:fill="auto"/>
            <w:vAlign w:val="center"/>
            <w:hideMark/>
          </w:tcPr>
          <w:p w14:paraId="71A70DEF" w14:textId="77777777" w:rsidR="008E0491" w:rsidRPr="008E0491" w:rsidRDefault="008E0491" w:rsidP="008E0491">
            <w:pPr>
              <w:spacing w:after="0" w:line="240" w:lineRule="auto"/>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Izdaci za financijsku imovinu i otplate zajmova</w:t>
            </w:r>
          </w:p>
        </w:tc>
        <w:tc>
          <w:tcPr>
            <w:tcW w:w="1209" w:type="dxa"/>
            <w:shd w:val="clear" w:color="auto" w:fill="auto"/>
            <w:vAlign w:val="center"/>
            <w:hideMark/>
          </w:tcPr>
          <w:p w14:paraId="30CE7FFD" w14:textId="77777777" w:rsidR="008E0491" w:rsidRPr="008E0491" w:rsidRDefault="008E0491" w:rsidP="008E0491">
            <w:pPr>
              <w:spacing w:after="0" w:line="240" w:lineRule="auto"/>
              <w:jc w:val="right"/>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1</w:t>
            </w:r>
            <w:r w:rsidR="00E70124">
              <w:rPr>
                <w:rFonts w:ascii="Calibri" w:eastAsia="Times New Roman" w:hAnsi="Calibri" w:cs="Calibri"/>
                <w:color w:val="000000"/>
                <w:sz w:val="18"/>
                <w:szCs w:val="18"/>
                <w:lang w:eastAsia="hr-HR"/>
              </w:rPr>
              <w:t>.</w:t>
            </w:r>
            <w:r w:rsidRPr="008E0491">
              <w:rPr>
                <w:rFonts w:ascii="Calibri" w:eastAsia="Times New Roman" w:hAnsi="Calibri" w:cs="Calibri"/>
                <w:color w:val="000000"/>
                <w:sz w:val="18"/>
                <w:szCs w:val="18"/>
                <w:lang w:eastAsia="hr-HR"/>
              </w:rPr>
              <w:t>131</w:t>
            </w:r>
            <w:r w:rsidR="00E70124">
              <w:rPr>
                <w:rFonts w:ascii="Calibri" w:eastAsia="Times New Roman" w:hAnsi="Calibri" w:cs="Calibri"/>
                <w:color w:val="000000"/>
                <w:sz w:val="18"/>
                <w:szCs w:val="18"/>
                <w:lang w:eastAsia="hr-HR"/>
              </w:rPr>
              <w:t>.</w:t>
            </w:r>
            <w:r w:rsidRPr="008E0491">
              <w:rPr>
                <w:rFonts w:ascii="Calibri" w:eastAsia="Times New Roman" w:hAnsi="Calibri" w:cs="Calibri"/>
                <w:color w:val="000000"/>
                <w:sz w:val="18"/>
                <w:szCs w:val="18"/>
                <w:lang w:eastAsia="hr-HR"/>
              </w:rPr>
              <w:t>029,2</w:t>
            </w:r>
            <w:r w:rsidR="00E70124">
              <w:rPr>
                <w:rFonts w:ascii="Calibri" w:eastAsia="Times New Roman" w:hAnsi="Calibri" w:cs="Calibri"/>
                <w:color w:val="000000"/>
                <w:sz w:val="18"/>
                <w:szCs w:val="18"/>
                <w:lang w:eastAsia="hr-HR"/>
              </w:rPr>
              <w:t>0</w:t>
            </w:r>
          </w:p>
        </w:tc>
        <w:tc>
          <w:tcPr>
            <w:tcW w:w="1209" w:type="dxa"/>
            <w:shd w:val="clear" w:color="auto" w:fill="auto"/>
            <w:vAlign w:val="center"/>
            <w:hideMark/>
          </w:tcPr>
          <w:p w14:paraId="7D10D19E" w14:textId="77777777" w:rsidR="008E0491" w:rsidRPr="008E0491" w:rsidRDefault="008E0491" w:rsidP="008E0491">
            <w:pPr>
              <w:spacing w:after="0" w:line="240" w:lineRule="auto"/>
              <w:jc w:val="right"/>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822.857,99</w:t>
            </w:r>
          </w:p>
        </w:tc>
        <w:tc>
          <w:tcPr>
            <w:tcW w:w="1412" w:type="dxa"/>
            <w:shd w:val="clear" w:color="auto" w:fill="auto"/>
            <w:vAlign w:val="center"/>
            <w:hideMark/>
          </w:tcPr>
          <w:p w14:paraId="094689E5" w14:textId="77777777" w:rsidR="008E0491" w:rsidRPr="008E0491" w:rsidRDefault="008E0491" w:rsidP="008E0491">
            <w:pPr>
              <w:spacing w:after="0" w:line="240" w:lineRule="auto"/>
              <w:jc w:val="right"/>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1.324.180,00</w:t>
            </w:r>
          </w:p>
        </w:tc>
        <w:tc>
          <w:tcPr>
            <w:tcW w:w="1424" w:type="dxa"/>
            <w:shd w:val="clear" w:color="auto" w:fill="auto"/>
            <w:vAlign w:val="center"/>
            <w:hideMark/>
          </w:tcPr>
          <w:p w14:paraId="7224D474" w14:textId="77777777" w:rsidR="008E0491" w:rsidRPr="008E0491" w:rsidRDefault="008E0491" w:rsidP="008E0491">
            <w:pPr>
              <w:spacing w:after="0" w:line="240" w:lineRule="auto"/>
              <w:jc w:val="right"/>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781.849,00</w:t>
            </w:r>
          </w:p>
        </w:tc>
        <w:tc>
          <w:tcPr>
            <w:tcW w:w="1294" w:type="dxa"/>
            <w:shd w:val="clear" w:color="auto" w:fill="auto"/>
            <w:vAlign w:val="center"/>
            <w:hideMark/>
          </w:tcPr>
          <w:p w14:paraId="09F7642C" w14:textId="77777777" w:rsidR="008E0491" w:rsidRPr="008E0491" w:rsidRDefault="008E0491" w:rsidP="008E0491">
            <w:pPr>
              <w:spacing w:after="0" w:line="240" w:lineRule="auto"/>
              <w:jc w:val="right"/>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781.849,00</w:t>
            </w:r>
          </w:p>
        </w:tc>
        <w:tc>
          <w:tcPr>
            <w:tcW w:w="1228" w:type="dxa"/>
            <w:shd w:val="clear" w:color="auto" w:fill="auto"/>
            <w:vAlign w:val="center"/>
            <w:hideMark/>
          </w:tcPr>
          <w:p w14:paraId="72CAB38A" w14:textId="77777777" w:rsidR="008E0491" w:rsidRPr="008E0491" w:rsidRDefault="008E0491" w:rsidP="008E0491">
            <w:pPr>
              <w:spacing w:after="0" w:line="240" w:lineRule="auto"/>
              <w:jc w:val="right"/>
              <w:rPr>
                <w:rFonts w:ascii="Calibri" w:eastAsia="Times New Roman" w:hAnsi="Calibri" w:cs="Calibri"/>
                <w:color w:val="000000"/>
                <w:sz w:val="18"/>
                <w:szCs w:val="18"/>
                <w:lang w:eastAsia="hr-HR"/>
              </w:rPr>
            </w:pPr>
            <w:r w:rsidRPr="008E0491">
              <w:rPr>
                <w:rFonts w:ascii="Calibri" w:eastAsia="Times New Roman" w:hAnsi="Calibri" w:cs="Calibri"/>
                <w:color w:val="000000"/>
                <w:sz w:val="18"/>
                <w:szCs w:val="18"/>
                <w:lang w:eastAsia="hr-HR"/>
              </w:rPr>
              <w:t>781.849,00</w:t>
            </w:r>
          </w:p>
        </w:tc>
      </w:tr>
      <w:tr w:rsidR="008E0491" w:rsidRPr="008E0491" w14:paraId="6287AA8C" w14:textId="77777777" w:rsidTr="000B567F">
        <w:trPr>
          <w:trHeight w:val="317"/>
        </w:trPr>
        <w:tc>
          <w:tcPr>
            <w:tcW w:w="1414" w:type="dxa"/>
            <w:shd w:val="clear" w:color="auto" w:fill="D9D9D9" w:themeFill="background1" w:themeFillShade="D9"/>
            <w:vAlign w:val="center"/>
            <w:hideMark/>
          </w:tcPr>
          <w:p w14:paraId="4766B95F" w14:textId="77777777" w:rsidR="008E0491" w:rsidRPr="008E0491" w:rsidRDefault="008E0491" w:rsidP="008E0491">
            <w:pPr>
              <w:spacing w:after="0" w:line="240" w:lineRule="auto"/>
              <w:rPr>
                <w:rFonts w:ascii="Calibri" w:eastAsia="Times New Roman" w:hAnsi="Calibri" w:cs="Calibri"/>
                <w:b/>
                <w:bCs/>
                <w:color w:val="000000"/>
                <w:sz w:val="18"/>
                <w:szCs w:val="18"/>
                <w:lang w:eastAsia="hr-HR"/>
              </w:rPr>
            </w:pPr>
            <w:r w:rsidRPr="008E0491">
              <w:rPr>
                <w:rFonts w:ascii="Calibri" w:eastAsia="Times New Roman" w:hAnsi="Calibri" w:cs="Calibri"/>
                <w:b/>
                <w:bCs/>
                <w:color w:val="000000"/>
                <w:sz w:val="18"/>
                <w:szCs w:val="18"/>
                <w:lang w:eastAsia="hr-HR"/>
              </w:rPr>
              <w:t>SVEUKUPNO</w:t>
            </w:r>
          </w:p>
        </w:tc>
        <w:tc>
          <w:tcPr>
            <w:tcW w:w="1209" w:type="dxa"/>
            <w:shd w:val="clear" w:color="auto" w:fill="D9D9D9" w:themeFill="background1" w:themeFillShade="D9"/>
            <w:vAlign w:val="center"/>
            <w:hideMark/>
          </w:tcPr>
          <w:p w14:paraId="4AE23EFD" w14:textId="77777777" w:rsidR="008E0491" w:rsidRPr="008E0491" w:rsidRDefault="008E0491" w:rsidP="008E0491">
            <w:pPr>
              <w:spacing w:after="0" w:line="240" w:lineRule="auto"/>
              <w:jc w:val="right"/>
              <w:rPr>
                <w:rFonts w:ascii="Calibri" w:eastAsia="Times New Roman" w:hAnsi="Calibri" w:cs="Calibri"/>
                <w:b/>
                <w:bCs/>
                <w:color w:val="000000"/>
                <w:sz w:val="18"/>
                <w:szCs w:val="18"/>
                <w:lang w:eastAsia="hr-HR"/>
              </w:rPr>
            </w:pPr>
            <w:r w:rsidRPr="008E0491">
              <w:rPr>
                <w:rFonts w:ascii="Calibri" w:eastAsia="Times New Roman" w:hAnsi="Calibri" w:cs="Calibri"/>
                <w:b/>
                <w:bCs/>
                <w:color w:val="000000"/>
                <w:sz w:val="18"/>
                <w:szCs w:val="18"/>
                <w:lang w:eastAsia="hr-HR"/>
              </w:rPr>
              <w:t>29.407.648,53</w:t>
            </w:r>
          </w:p>
        </w:tc>
        <w:tc>
          <w:tcPr>
            <w:tcW w:w="1209" w:type="dxa"/>
            <w:shd w:val="clear" w:color="auto" w:fill="D9D9D9" w:themeFill="background1" w:themeFillShade="D9"/>
            <w:vAlign w:val="center"/>
            <w:hideMark/>
          </w:tcPr>
          <w:p w14:paraId="649742B4" w14:textId="77777777" w:rsidR="008E0491" w:rsidRPr="008E0491" w:rsidRDefault="008E0491" w:rsidP="008E0491">
            <w:pPr>
              <w:spacing w:after="0" w:line="240" w:lineRule="auto"/>
              <w:jc w:val="right"/>
              <w:rPr>
                <w:rFonts w:ascii="Calibri" w:eastAsia="Times New Roman" w:hAnsi="Calibri" w:cs="Calibri"/>
                <w:b/>
                <w:bCs/>
                <w:color w:val="000000"/>
                <w:sz w:val="18"/>
                <w:szCs w:val="18"/>
                <w:lang w:eastAsia="hr-HR"/>
              </w:rPr>
            </w:pPr>
            <w:r w:rsidRPr="008E0491">
              <w:rPr>
                <w:rFonts w:ascii="Calibri" w:eastAsia="Times New Roman" w:hAnsi="Calibri" w:cs="Calibri"/>
                <w:b/>
                <w:bCs/>
                <w:color w:val="000000"/>
                <w:sz w:val="18"/>
                <w:szCs w:val="18"/>
                <w:lang w:eastAsia="hr-HR"/>
              </w:rPr>
              <w:t>16.636.995,59</w:t>
            </w:r>
          </w:p>
        </w:tc>
        <w:tc>
          <w:tcPr>
            <w:tcW w:w="1412" w:type="dxa"/>
            <w:shd w:val="clear" w:color="auto" w:fill="D9D9D9" w:themeFill="background1" w:themeFillShade="D9"/>
            <w:vAlign w:val="center"/>
            <w:hideMark/>
          </w:tcPr>
          <w:p w14:paraId="19E6E895" w14:textId="77777777" w:rsidR="008E0491" w:rsidRPr="008E0491" w:rsidRDefault="008E0491" w:rsidP="008E0491">
            <w:pPr>
              <w:spacing w:after="0" w:line="240" w:lineRule="auto"/>
              <w:jc w:val="right"/>
              <w:rPr>
                <w:rFonts w:ascii="Calibri" w:eastAsia="Times New Roman" w:hAnsi="Calibri" w:cs="Calibri"/>
                <w:b/>
                <w:bCs/>
                <w:color w:val="000000"/>
                <w:sz w:val="18"/>
                <w:szCs w:val="18"/>
                <w:lang w:eastAsia="hr-HR"/>
              </w:rPr>
            </w:pPr>
            <w:r w:rsidRPr="008E0491">
              <w:rPr>
                <w:rFonts w:ascii="Calibri" w:eastAsia="Times New Roman" w:hAnsi="Calibri" w:cs="Calibri"/>
                <w:b/>
                <w:bCs/>
                <w:color w:val="000000"/>
                <w:sz w:val="18"/>
                <w:szCs w:val="18"/>
                <w:lang w:eastAsia="hr-HR"/>
              </w:rPr>
              <w:t>25.502.452,00</w:t>
            </w:r>
          </w:p>
        </w:tc>
        <w:tc>
          <w:tcPr>
            <w:tcW w:w="1424" w:type="dxa"/>
            <w:shd w:val="clear" w:color="auto" w:fill="D9D9D9" w:themeFill="background1" w:themeFillShade="D9"/>
            <w:vAlign w:val="center"/>
            <w:hideMark/>
          </w:tcPr>
          <w:p w14:paraId="4A7552E7" w14:textId="77777777" w:rsidR="008E0491" w:rsidRPr="008E0491" w:rsidRDefault="00E70124" w:rsidP="008E0491">
            <w:pPr>
              <w:spacing w:after="0" w:line="240" w:lineRule="auto"/>
              <w:jc w:val="right"/>
              <w:rPr>
                <w:rFonts w:ascii="Calibri" w:eastAsia="Times New Roman" w:hAnsi="Calibri" w:cs="Calibri"/>
                <w:b/>
                <w:bCs/>
                <w:color w:val="000000"/>
                <w:sz w:val="18"/>
                <w:szCs w:val="18"/>
                <w:lang w:eastAsia="hr-HR"/>
              </w:rPr>
            </w:pPr>
            <w:r>
              <w:rPr>
                <w:rFonts w:ascii="Calibri" w:eastAsia="Times New Roman" w:hAnsi="Calibri" w:cs="Calibri"/>
                <w:b/>
                <w:bCs/>
                <w:color w:val="000000"/>
                <w:sz w:val="18"/>
                <w:szCs w:val="18"/>
                <w:lang w:eastAsia="hr-HR"/>
              </w:rPr>
              <w:t>24.202.691,00</w:t>
            </w:r>
          </w:p>
        </w:tc>
        <w:tc>
          <w:tcPr>
            <w:tcW w:w="1294" w:type="dxa"/>
            <w:shd w:val="clear" w:color="auto" w:fill="D9D9D9" w:themeFill="background1" w:themeFillShade="D9"/>
            <w:vAlign w:val="center"/>
            <w:hideMark/>
          </w:tcPr>
          <w:p w14:paraId="11FA394B" w14:textId="77777777" w:rsidR="008E0491" w:rsidRPr="008E0491" w:rsidRDefault="008E0491" w:rsidP="008E0491">
            <w:pPr>
              <w:spacing w:after="0" w:line="240" w:lineRule="auto"/>
              <w:jc w:val="right"/>
              <w:rPr>
                <w:rFonts w:ascii="Calibri" w:eastAsia="Times New Roman" w:hAnsi="Calibri" w:cs="Calibri"/>
                <w:b/>
                <w:bCs/>
                <w:color w:val="000000"/>
                <w:sz w:val="18"/>
                <w:szCs w:val="18"/>
                <w:lang w:eastAsia="hr-HR"/>
              </w:rPr>
            </w:pPr>
            <w:r w:rsidRPr="008E0491">
              <w:rPr>
                <w:rFonts w:ascii="Calibri" w:eastAsia="Times New Roman" w:hAnsi="Calibri" w:cs="Calibri"/>
                <w:b/>
                <w:bCs/>
                <w:color w:val="000000"/>
                <w:sz w:val="18"/>
                <w:szCs w:val="18"/>
                <w:lang w:eastAsia="hr-HR"/>
              </w:rPr>
              <w:t>24.059.490,00</w:t>
            </w:r>
          </w:p>
        </w:tc>
        <w:tc>
          <w:tcPr>
            <w:tcW w:w="1228" w:type="dxa"/>
            <w:shd w:val="clear" w:color="auto" w:fill="D9D9D9" w:themeFill="background1" w:themeFillShade="D9"/>
            <w:vAlign w:val="center"/>
            <w:hideMark/>
          </w:tcPr>
          <w:p w14:paraId="4774AFC3" w14:textId="77777777" w:rsidR="008E0491" w:rsidRPr="008E0491" w:rsidRDefault="008E0491" w:rsidP="008E0491">
            <w:pPr>
              <w:spacing w:after="0" w:line="240" w:lineRule="auto"/>
              <w:jc w:val="right"/>
              <w:rPr>
                <w:rFonts w:ascii="Calibri" w:eastAsia="Times New Roman" w:hAnsi="Calibri" w:cs="Calibri"/>
                <w:b/>
                <w:bCs/>
                <w:color w:val="000000"/>
                <w:sz w:val="18"/>
                <w:szCs w:val="18"/>
                <w:lang w:eastAsia="hr-HR"/>
              </w:rPr>
            </w:pPr>
            <w:r w:rsidRPr="008E0491">
              <w:rPr>
                <w:rFonts w:ascii="Calibri" w:eastAsia="Times New Roman" w:hAnsi="Calibri" w:cs="Calibri"/>
                <w:b/>
                <w:bCs/>
                <w:color w:val="000000"/>
                <w:sz w:val="18"/>
                <w:szCs w:val="18"/>
                <w:lang w:eastAsia="hr-HR"/>
              </w:rPr>
              <w:t>25.139.110,00</w:t>
            </w:r>
          </w:p>
        </w:tc>
      </w:tr>
    </w:tbl>
    <w:p w14:paraId="09A6AD7B" w14:textId="77777777" w:rsidR="002C3E54" w:rsidRDefault="002C3E54" w:rsidP="00300AEF">
      <w:pPr>
        <w:spacing w:after="0" w:line="240" w:lineRule="auto"/>
        <w:jc w:val="both"/>
        <w:rPr>
          <w:rFonts w:ascii="Calibri" w:eastAsia="Calibri" w:hAnsi="Calibri" w:cs="Calibri"/>
        </w:rPr>
      </w:pPr>
    </w:p>
    <w:p w14:paraId="5A59FB62" w14:textId="77777777" w:rsidR="007218EE" w:rsidRDefault="007218EE" w:rsidP="007218EE">
      <w:pPr>
        <w:spacing w:after="0" w:line="240" w:lineRule="auto"/>
        <w:jc w:val="both"/>
        <w:rPr>
          <w:rFonts w:eastAsia="Times New Roman" w:cstheme="minorHAnsi"/>
          <w:lang w:eastAsia="hr-HR"/>
        </w:rPr>
      </w:pPr>
      <w:r w:rsidRPr="007218EE">
        <w:rPr>
          <w:rFonts w:eastAsia="Times New Roman" w:cstheme="minorHAnsi"/>
          <w:lang w:eastAsia="hr-HR"/>
        </w:rPr>
        <w:t>U rashodima za zaposlene uključene su naknade za zaposlene poput sredstava za božićnice i regres, dječje darove, jubilarne nagrade te  ostala materijalna prava zaposlenima. U 2025. i 2026. planira se povećano zapošljavanje zbog odlaska većeg broja djelatnika u starosnu mirovinu. Planiraju se veći iznosi za materijale i energiju zbog trenda povećanja cijena na tržištu.  U spomenutom planskom razdoblju planirane su maksimalne mjere štednje, racionalnog i kontroliranog trošenja sredstava, te prioritetna, nužna ulaganja. Aktivnost se financira iz prihoda za posebne namjene (izvor 43), vlastitih prihoda (izvor 31), donacija (izvor 61), pomoći EU (izvor 51), ostalih pomoći (izvor 52).</w:t>
      </w:r>
    </w:p>
    <w:p w14:paraId="490DC52E" w14:textId="77777777" w:rsidR="007218EE" w:rsidRDefault="007218EE" w:rsidP="007218EE">
      <w:pPr>
        <w:spacing w:after="0" w:line="240" w:lineRule="auto"/>
        <w:jc w:val="both"/>
        <w:rPr>
          <w:rFonts w:eastAsia="Times New Roman" w:cstheme="minorHAnsi"/>
          <w:lang w:eastAsia="hr-HR"/>
        </w:rPr>
      </w:pPr>
      <w:r w:rsidRPr="007218EE">
        <w:rPr>
          <w:rFonts w:eastAsia="Times New Roman" w:cstheme="minorHAnsi"/>
          <w:lang w:eastAsia="hr-HR"/>
        </w:rPr>
        <w:t>Za nabavu opreme planirana je nabavka nužne medicinske opreme i to zbog dotrajalosti postojeće, također planirana je nabavka novog službenog vozila.  Od dodatnih ulaganja planira se izvedba vanjske terase kafića Terme, zaštitna ograda ustanove, ulaganje u parkirališta, odvodnja bušotine B-2, ugradnja izmjenjivača topline pripreme sanitarne vode GTV za objekt Terme i Minervu te ostala dodatna ulaganja. Velik dio dodatnog ulaganja bio je kroz energetsku obnovu. Aktivnost se financira iz decentraliziranih sredstava (izvor 44), vlastitih prihoda (izvor 31), donacija (izvor 61) i prihoda od nefinancijske imovine i nadoknade šteta s osnova osiguranja (izvor 71).</w:t>
      </w:r>
    </w:p>
    <w:p w14:paraId="305242BD" w14:textId="77777777" w:rsidR="007218EE" w:rsidRPr="007218EE" w:rsidRDefault="007218EE" w:rsidP="007218EE">
      <w:pPr>
        <w:spacing w:after="60" w:line="240" w:lineRule="auto"/>
        <w:jc w:val="both"/>
        <w:rPr>
          <w:rFonts w:eastAsia="Times New Roman" w:cstheme="minorHAnsi"/>
          <w:lang w:eastAsia="hr-HR"/>
        </w:rPr>
      </w:pPr>
      <w:r w:rsidRPr="007218EE">
        <w:rPr>
          <w:rFonts w:eastAsia="Times New Roman" w:cstheme="minorHAnsi"/>
          <w:lang w:eastAsia="hr-HR"/>
        </w:rPr>
        <w:t xml:space="preserve">Za tekuće i investicijsko održavanje (T132001) u 2024. godini planirani iznos iznosi 883.450,00 €, a odnosi se na razne usluge tekućeg investicijskog održavanja na nivou Bolnice, uređenje recepcijskog pulta, sanacija rashladnih komora skladišta hrene u objektu Minerva, popravak prometnica i parkirališta u krugu bolnice, postava podnih obloga za uređenje bolesničkih soba te ostalih usluga tekućeg i investicijskog održavanja objekata i opreme. U 2025. godini planirani iznos iznosi 848.000,00 € za razne usluge tekućeg i investicijskog održavanja, dok je za 2025. godinu planirano 835.000,00 €. Aktivnost se financira iz vlastitih prihoda (izvor 31) i prihoda za posebne namjene (izvor 43). </w:t>
      </w:r>
    </w:p>
    <w:p w14:paraId="5ED71C02" w14:textId="77777777" w:rsidR="007218EE" w:rsidRPr="007218EE" w:rsidRDefault="007218EE" w:rsidP="007218EE">
      <w:pPr>
        <w:spacing w:after="0" w:line="240" w:lineRule="auto"/>
        <w:jc w:val="both"/>
        <w:rPr>
          <w:rFonts w:eastAsia="Times New Roman" w:cstheme="minorHAnsi"/>
          <w:lang w:eastAsia="hr-HR"/>
        </w:rPr>
      </w:pPr>
    </w:p>
    <w:p w14:paraId="7D5A6046" w14:textId="77777777" w:rsidR="007218EE" w:rsidRPr="007218EE" w:rsidRDefault="007218EE" w:rsidP="007218EE">
      <w:pPr>
        <w:spacing w:after="0" w:line="240" w:lineRule="auto"/>
        <w:jc w:val="both"/>
        <w:rPr>
          <w:rFonts w:eastAsia="Times New Roman" w:cstheme="minorHAnsi"/>
          <w:lang w:eastAsia="hr-HR"/>
        </w:rPr>
      </w:pPr>
    </w:p>
    <w:p w14:paraId="0F2C5EAF" w14:textId="77777777" w:rsidR="00D2487F" w:rsidRDefault="00D2487F" w:rsidP="00EB6F5D">
      <w:pPr>
        <w:spacing w:after="0" w:line="240" w:lineRule="auto"/>
        <w:jc w:val="both"/>
      </w:pPr>
    </w:p>
    <w:p w14:paraId="34391FCA" w14:textId="77777777" w:rsidR="007218EE" w:rsidRDefault="007218EE" w:rsidP="00EB6F5D">
      <w:pPr>
        <w:spacing w:after="0" w:line="240" w:lineRule="auto"/>
        <w:jc w:val="both"/>
      </w:pPr>
    </w:p>
    <w:p w14:paraId="0E85556A" w14:textId="77777777" w:rsidR="007218EE" w:rsidRDefault="007218EE" w:rsidP="00EB6F5D">
      <w:pPr>
        <w:spacing w:after="0" w:line="240" w:lineRule="auto"/>
        <w:jc w:val="both"/>
      </w:pPr>
    </w:p>
    <w:p w14:paraId="2C2A6C7F" w14:textId="77777777" w:rsidR="007218EE" w:rsidRDefault="007218EE" w:rsidP="00EB6F5D">
      <w:pPr>
        <w:spacing w:after="0" w:line="240" w:lineRule="auto"/>
        <w:jc w:val="both"/>
      </w:pPr>
    </w:p>
    <w:p w14:paraId="72910552" w14:textId="77777777" w:rsidR="007218EE" w:rsidRDefault="007218EE" w:rsidP="00EB6F5D">
      <w:pPr>
        <w:spacing w:after="0" w:line="240" w:lineRule="auto"/>
        <w:jc w:val="both"/>
      </w:pPr>
    </w:p>
    <w:p w14:paraId="40861C0A" w14:textId="77777777" w:rsidR="007218EE" w:rsidRDefault="007218EE" w:rsidP="00EB6F5D">
      <w:pPr>
        <w:spacing w:after="0" w:line="240" w:lineRule="auto"/>
        <w:jc w:val="both"/>
      </w:pPr>
    </w:p>
    <w:p w14:paraId="73EE9235" w14:textId="77777777" w:rsidR="007218EE" w:rsidRDefault="007218EE" w:rsidP="00EB6F5D">
      <w:pPr>
        <w:spacing w:after="0" w:line="240" w:lineRule="auto"/>
        <w:jc w:val="both"/>
      </w:pPr>
    </w:p>
    <w:p w14:paraId="226BEEA5" w14:textId="77777777" w:rsidR="007218EE" w:rsidRDefault="007218EE" w:rsidP="00EB6F5D">
      <w:pPr>
        <w:spacing w:after="0" w:line="240" w:lineRule="auto"/>
        <w:jc w:val="both"/>
      </w:pPr>
    </w:p>
    <w:p w14:paraId="21AEFF4B" w14:textId="77777777" w:rsidR="007218EE" w:rsidRPr="00F16607" w:rsidRDefault="007218EE" w:rsidP="00EB6F5D">
      <w:pPr>
        <w:spacing w:after="0" w:line="240" w:lineRule="auto"/>
        <w:jc w:val="both"/>
      </w:pPr>
    </w:p>
    <w:p w14:paraId="5184A16F" w14:textId="77777777" w:rsidR="00DA12E8" w:rsidRDefault="00DA12E8" w:rsidP="002B5B53">
      <w:pPr>
        <w:pStyle w:val="Naslov2"/>
        <w:spacing w:line="240" w:lineRule="auto"/>
        <w:rPr>
          <w:b/>
          <w:color w:val="1F4E79" w:themeColor="accent1" w:themeShade="80"/>
        </w:rPr>
      </w:pPr>
      <w:r w:rsidRPr="00675EDC">
        <w:rPr>
          <w:b/>
          <w:color w:val="1F4E79" w:themeColor="accent1" w:themeShade="80"/>
        </w:rPr>
        <w:lastRenderedPageBreak/>
        <w:t>Tablica 3. Rezultat poslovanja</w:t>
      </w:r>
    </w:p>
    <w:tbl>
      <w:tblPr>
        <w:tblW w:w="90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271"/>
        <w:gridCol w:w="1271"/>
        <w:gridCol w:w="1333"/>
        <w:gridCol w:w="1340"/>
        <w:gridCol w:w="1268"/>
        <w:gridCol w:w="1265"/>
      </w:tblGrid>
      <w:tr w:rsidR="002077D7" w:rsidRPr="002077D7" w14:paraId="0EB930F2" w14:textId="77777777" w:rsidTr="00E70124">
        <w:trPr>
          <w:trHeight w:val="768"/>
        </w:trPr>
        <w:tc>
          <w:tcPr>
            <w:tcW w:w="1259" w:type="dxa"/>
            <w:shd w:val="clear" w:color="000000" w:fill="D9D9D9"/>
            <w:vAlign w:val="center"/>
            <w:hideMark/>
          </w:tcPr>
          <w:p w14:paraId="6831FA36" w14:textId="77777777" w:rsidR="002077D7" w:rsidRPr="002077D7" w:rsidRDefault="002077D7" w:rsidP="002077D7">
            <w:pPr>
              <w:spacing w:after="0" w:line="240" w:lineRule="auto"/>
              <w:jc w:val="center"/>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 </w:t>
            </w:r>
          </w:p>
        </w:tc>
        <w:tc>
          <w:tcPr>
            <w:tcW w:w="1266" w:type="dxa"/>
            <w:shd w:val="clear" w:color="000000" w:fill="D9D9D9"/>
            <w:vAlign w:val="center"/>
            <w:hideMark/>
          </w:tcPr>
          <w:p w14:paraId="6058D01E" w14:textId="77777777" w:rsidR="002077D7" w:rsidRPr="002077D7" w:rsidRDefault="002077D7" w:rsidP="002077D7">
            <w:pPr>
              <w:spacing w:after="0" w:line="240" w:lineRule="auto"/>
              <w:jc w:val="center"/>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IZVRŠENJE</w:t>
            </w:r>
          </w:p>
          <w:p w14:paraId="4A34FB52" w14:textId="77777777" w:rsidR="002077D7" w:rsidRPr="002077D7" w:rsidRDefault="002077D7" w:rsidP="002077D7">
            <w:pPr>
              <w:spacing w:after="0" w:line="240" w:lineRule="auto"/>
              <w:jc w:val="center"/>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2022</w:t>
            </w:r>
            <w:r w:rsidR="000B567F">
              <w:rPr>
                <w:rFonts w:ascii="Calibri" w:eastAsia="Times New Roman" w:hAnsi="Calibri" w:cs="Calibri"/>
                <w:color w:val="000000"/>
                <w:sz w:val="18"/>
                <w:szCs w:val="18"/>
                <w:lang w:eastAsia="hr-HR"/>
              </w:rPr>
              <w:t>.</w:t>
            </w:r>
          </w:p>
        </w:tc>
        <w:tc>
          <w:tcPr>
            <w:tcW w:w="1266" w:type="dxa"/>
            <w:shd w:val="clear" w:color="000000" w:fill="D9D9D9"/>
            <w:vAlign w:val="center"/>
            <w:hideMark/>
          </w:tcPr>
          <w:p w14:paraId="6D9A4C42" w14:textId="77777777" w:rsidR="002077D7" w:rsidRPr="002077D7" w:rsidRDefault="002077D7" w:rsidP="002077D7">
            <w:pPr>
              <w:spacing w:after="0" w:line="240" w:lineRule="auto"/>
              <w:jc w:val="center"/>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IZVRŠENJE</w:t>
            </w:r>
          </w:p>
          <w:p w14:paraId="536C6727" w14:textId="77777777" w:rsidR="002077D7" w:rsidRPr="002077D7" w:rsidRDefault="002077D7" w:rsidP="002077D7">
            <w:pPr>
              <w:spacing w:after="0" w:line="240" w:lineRule="auto"/>
              <w:jc w:val="center"/>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 xml:space="preserve"> I-VIII 2023.</w:t>
            </w:r>
          </w:p>
        </w:tc>
        <w:tc>
          <w:tcPr>
            <w:tcW w:w="1338" w:type="dxa"/>
            <w:shd w:val="clear" w:color="000000" w:fill="D9D9D9"/>
            <w:vAlign w:val="center"/>
            <w:hideMark/>
          </w:tcPr>
          <w:p w14:paraId="00BE21A8" w14:textId="77777777" w:rsidR="002077D7" w:rsidRPr="002077D7" w:rsidRDefault="002077D7" w:rsidP="002077D7">
            <w:pPr>
              <w:spacing w:after="0" w:line="240" w:lineRule="auto"/>
              <w:jc w:val="center"/>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 xml:space="preserve">PROCJENA IZVRŠENJA </w:t>
            </w:r>
          </w:p>
          <w:p w14:paraId="191DDF62" w14:textId="77777777" w:rsidR="002077D7" w:rsidRPr="002077D7" w:rsidRDefault="002077D7" w:rsidP="002077D7">
            <w:pPr>
              <w:spacing w:after="0" w:line="240" w:lineRule="auto"/>
              <w:jc w:val="center"/>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I-XII 2023</w:t>
            </w:r>
          </w:p>
        </w:tc>
        <w:tc>
          <w:tcPr>
            <w:tcW w:w="1346" w:type="dxa"/>
            <w:shd w:val="clear" w:color="000000" w:fill="D9D9D9"/>
            <w:vAlign w:val="center"/>
            <w:hideMark/>
          </w:tcPr>
          <w:p w14:paraId="2A0F72AB" w14:textId="77777777" w:rsidR="002077D7" w:rsidRPr="002077D7" w:rsidRDefault="002077D7" w:rsidP="002077D7">
            <w:pPr>
              <w:spacing w:after="0" w:line="240" w:lineRule="auto"/>
              <w:jc w:val="center"/>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PROCJENA</w:t>
            </w:r>
          </w:p>
          <w:p w14:paraId="2DAED4B7" w14:textId="77777777" w:rsidR="002077D7" w:rsidRPr="002077D7" w:rsidRDefault="002077D7" w:rsidP="002077D7">
            <w:pPr>
              <w:spacing w:after="0" w:line="240" w:lineRule="auto"/>
              <w:jc w:val="center"/>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2024</w:t>
            </w:r>
            <w:r w:rsidR="000B567F">
              <w:rPr>
                <w:rFonts w:ascii="Calibri" w:eastAsia="Times New Roman" w:hAnsi="Calibri" w:cs="Calibri"/>
                <w:color w:val="000000"/>
                <w:sz w:val="18"/>
                <w:szCs w:val="18"/>
                <w:lang w:eastAsia="hr-HR"/>
              </w:rPr>
              <w:t>.</w:t>
            </w:r>
          </w:p>
        </w:tc>
        <w:tc>
          <w:tcPr>
            <w:tcW w:w="1268" w:type="dxa"/>
            <w:shd w:val="clear" w:color="000000" w:fill="D9D9D9"/>
            <w:vAlign w:val="center"/>
            <w:hideMark/>
          </w:tcPr>
          <w:p w14:paraId="2723305C" w14:textId="77777777" w:rsidR="002077D7" w:rsidRPr="002077D7" w:rsidRDefault="002077D7" w:rsidP="002077D7">
            <w:pPr>
              <w:spacing w:after="0" w:line="240" w:lineRule="auto"/>
              <w:jc w:val="center"/>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PROCJENA</w:t>
            </w:r>
            <w:r w:rsidRPr="002077D7">
              <w:rPr>
                <w:rFonts w:ascii="Calibri" w:eastAsia="Times New Roman" w:hAnsi="Calibri" w:cs="Calibri"/>
                <w:color w:val="000000"/>
                <w:sz w:val="18"/>
                <w:szCs w:val="18"/>
                <w:lang w:eastAsia="hr-HR"/>
              </w:rPr>
              <w:br/>
              <w:t>2025</w:t>
            </w:r>
            <w:r w:rsidR="000B567F">
              <w:rPr>
                <w:rFonts w:ascii="Calibri" w:eastAsia="Times New Roman" w:hAnsi="Calibri" w:cs="Calibri"/>
                <w:color w:val="000000"/>
                <w:sz w:val="18"/>
                <w:szCs w:val="18"/>
                <w:lang w:eastAsia="hr-HR"/>
              </w:rPr>
              <w:t>.</w:t>
            </w:r>
          </w:p>
        </w:tc>
        <w:tc>
          <w:tcPr>
            <w:tcW w:w="1260" w:type="dxa"/>
            <w:shd w:val="clear" w:color="000000" w:fill="D9D9D9"/>
            <w:vAlign w:val="center"/>
            <w:hideMark/>
          </w:tcPr>
          <w:p w14:paraId="0C02FA47" w14:textId="77777777" w:rsidR="002077D7" w:rsidRPr="002077D7" w:rsidRDefault="002077D7" w:rsidP="002077D7">
            <w:pPr>
              <w:spacing w:after="0" w:line="240" w:lineRule="auto"/>
              <w:jc w:val="center"/>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PROCJENA</w:t>
            </w:r>
          </w:p>
          <w:p w14:paraId="69481E24" w14:textId="77777777" w:rsidR="002077D7" w:rsidRPr="002077D7" w:rsidRDefault="002077D7" w:rsidP="002077D7">
            <w:pPr>
              <w:spacing w:after="0" w:line="240" w:lineRule="auto"/>
              <w:jc w:val="center"/>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2026</w:t>
            </w:r>
            <w:r w:rsidR="000B567F">
              <w:rPr>
                <w:rFonts w:ascii="Calibri" w:eastAsia="Times New Roman" w:hAnsi="Calibri" w:cs="Calibri"/>
                <w:color w:val="000000"/>
                <w:sz w:val="18"/>
                <w:szCs w:val="18"/>
                <w:lang w:eastAsia="hr-HR"/>
              </w:rPr>
              <w:t>.</w:t>
            </w:r>
          </w:p>
        </w:tc>
      </w:tr>
      <w:tr w:rsidR="002077D7" w:rsidRPr="002077D7" w14:paraId="5B70C336" w14:textId="77777777" w:rsidTr="00E70124">
        <w:trPr>
          <w:trHeight w:val="466"/>
        </w:trPr>
        <w:tc>
          <w:tcPr>
            <w:tcW w:w="1259" w:type="dxa"/>
            <w:shd w:val="clear" w:color="auto" w:fill="auto"/>
            <w:vAlign w:val="center"/>
            <w:hideMark/>
          </w:tcPr>
          <w:p w14:paraId="7197783F" w14:textId="77777777" w:rsidR="002077D7" w:rsidRPr="002077D7" w:rsidRDefault="002077D7" w:rsidP="002077D7">
            <w:pPr>
              <w:spacing w:after="0" w:line="240" w:lineRule="auto"/>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PRIHODI I PRIMICI</w:t>
            </w:r>
          </w:p>
        </w:tc>
        <w:tc>
          <w:tcPr>
            <w:tcW w:w="1266" w:type="dxa"/>
            <w:shd w:val="clear" w:color="auto" w:fill="auto"/>
            <w:vAlign w:val="center"/>
            <w:hideMark/>
          </w:tcPr>
          <w:p w14:paraId="5AECFBE6"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26.972.271,89</w:t>
            </w:r>
          </w:p>
        </w:tc>
        <w:tc>
          <w:tcPr>
            <w:tcW w:w="1266" w:type="dxa"/>
            <w:shd w:val="clear" w:color="auto" w:fill="auto"/>
            <w:vAlign w:val="center"/>
            <w:hideMark/>
          </w:tcPr>
          <w:p w14:paraId="50889FDD"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16.203.626,69</w:t>
            </w:r>
          </w:p>
        </w:tc>
        <w:tc>
          <w:tcPr>
            <w:tcW w:w="1338" w:type="dxa"/>
            <w:shd w:val="clear" w:color="auto" w:fill="auto"/>
            <w:vAlign w:val="center"/>
            <w:hideMark/>
          </w:tcPr>
          <w:p w14:paraId="2469BE0C"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29.671.530,00</w:t>
            </w:r>
          </w:p>
        </w:tc>
        <w:tc>
          <w:tcPr>
            <w:tcW w:w="1346" w:type="dxa"/>
            <w:shd w:val="clear" w:color="auto" w:fill="auto"/>
            <w:vAlign w:val="center"/>
            <w:hideMark/>
          </w:tcPr>
          <w:p w14:paraId="07ACA742" w14:textId="77777777" w:rsidR="002077D7" w:rsidRPr="002077D7" w:rsidRDefault="00E70124" w:rsidP="002077D7">
            <w:pPr>
              <w:spacing w:after="0" w:line="240" w:lineRule="auto"/>
              <w:jc w:val="right"/>
              <w:rPr>
                <w:rFonts w:ascii="Calibri" w:eastAsia="Times New Roman" w:hAnsi="Calibri" w:cs="Calibri"/>
                <w:color w:val="000000"/>
                <w:sz w:val="18"/>
                <w:szCs w:val="18"/>
                <w:lang w:eastAsia="hr-HR"/>
              </w:rPr>
            </w:pPr>
            <w:r>
              <w:rPr>
                <w:rFonts w:ascii="Calibri" w:eastAsia="Times New Roman" w:hAnsi="Calibri" w:cs="Calibri"/>
                <w:color w:val="000000"/>
                <w:sz w:val="18"/>
                <w:szCs w:val="18"/>
                <w:lang w:eastAsia="hr-HR"/>
              </w:rPr>
              <w:t>26.862.837,00</w:t>
            </w:r>
          </w:p>
        </w:tc>
        <w:tc>
          <w:tcPr>
            <w:tcW w:w="1268" w:type="dxa"/>
            <w:shd w:val="clear" w:color="auto" w:fill="auto"/>
            <w:vAlign w:val="center"/>
            <w:hideMark/>
          </w:tcPr>
          <w:p w14:paraId="05993ABD"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27.926.138,00</w:t>
            </w:r>
          </w:p>
        </w:tc>
        <w:tc>
          <w:tcPr>
            <w:tcW w:w="1260" w:type="dxa"/>
            <w:shd w:val="clear" w:color="auto" w:fill="auto"/>
            <w:vAlign w:val="center"/>
            <w:hideMark/>
          </w:tcPr>
          <w:p w14:paraId="626F1B22"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28.475.224,00</w:t>
            </w:r>
          </w:p>
        </w:tc>
      </w:tr>
      <w:tr w:rsidR="002077D7" w:rsidRPr="002077D7" w14:paraId="3DCAD8C8" w14:textId="77777777" w:rsidTr="00E70124">
        <w:trPr>
          <w:trHeight w:val="466"/>
        </w:trPr>
        <w:tc>
          <w:tcPr>
            <w:tcW w:w="1259" w:type="dxa"/>
            <w:shd w:val="clear" w:color="auto" w:fill="auto"/>
            <w:vAlign w:val="center"/>
            <w:hideMark/>
          </w:tcPr>
          <w:p w14:paraId="0FFDE2FC" w14:textId="77777777" w:rsidR="002077D7" w:rsidRPr="002077D7" w:rsidRDefault="002077D7" w:rsidP="002077D7">
            <w:pPr>
              <w:spacing w:after="0" w:line="240" w:lineRule="auto"/>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RASHODI I IZDACI</w:t>
            </w:r>
          </w:p>
        </w:tc>
        <w:tc>
          <w:tcPr>
            <w:tcW w:w="1266" w:type="dxa"/>
            <w:shd w:val="clear" w:color="auto" w:fill="auto"/>
            <w:vAlign w:val="center"/>
            <w:hideMark/>
          </w:tcPr>
          <w:p w14:paraId="19F99466"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29.407.648,53</w:t>
            </w:r>
          </w:p>
        </w:tc>
        <w:tc>
          <w:tcPr>
            <w:tcW w:w="1266" w:type="dxa"/>
            <w:shd w:val="clear" w:color="auto" w:fill="auto"/>
            <w:vAlign w:val="center"/>
            <w:hideMark/>
          </w:tcPr>
          <w:p w14:paraId="16BEBF09"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16.636.995,59</w:t>
            </w:r>
          </w:p>
        </w:tc>
        <w:tc>
          <w:tcPr>
            <w:tcW w:w="1338" w:type="dxa"/>
            <w:shd w:val="clear" w:color="auto" w:fill="auto"/>
            <w:vAlign w:val="center"/>
            <w:hideMark/>
          </w:tcPr>
          <w:p w14:paraId="2EB375AA"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25.502.452,00</w:t>
            </w:r>
          </w:p>
        </w:tc>
        <w:tc>
          <w:tcPr>
            <w:tcW w:w="1346" w:type="dxa"/>
            <w:shd w:val="clear" w:color="auto" w:fill="auto"/>
            <w:vAlign w:val="center"/>
            <w:hideMark/>
          </w:tcPr>
          <w:p w14:paraId="35B5D9D8" w14:textId="77777777" w:rsidR="002077D7" w:rsidRPr="002077D7" w:rsidRDefault="002077D7" w:rsidP="00E70124">
            <w:pPr>
              <w:spacing w:after="0" w:line="240" w:lineRule="auto"/>
              <w:jc w:val="right"/>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24.</w:t>
            </w:r>
            <w:r w:rsidR="00E70124">
              <w:rPr>
                <w:rFonts w:ascii="Calibri" w:eastAsia="Times New Roman" w:hAnsi="Calibri" w:cs="Calibri"/>
                <w:color w:val="000000"/>
                <w:sz w:val="18"/>
                <w:szCs w:val="18"/>
                <w:lang w:eastAsia="hr-HR"/>
              </w:rPr>
              <w:t>202.691,00</w:t>
            </w:r>
          </w:p>
        </w:tc>
        <w:tc>
          <w:tcPr>
            <w:tcW w:w="1268" w:type="dxa"/>
            <w:shd w:val="clear" w:color="auto" w:fill="auto"/>
            <w:vAlign w:val="center"/>
            <w:hideMark/>
          </w:tcPr>
          <w:p w14:paraId="1C72FA34"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24.059.490,00</w:t>
            </w:r>
          </w:p>
        </w:tc>
        <w:tc>
          <w:tcPr>
            <w:tcW w:w="1260" w:type="dxa"/>
            <w:shd w:val="clear" w:color="auto" w:fill="auto"/>
            <w:vAlign w:val="center"/>
            <w:hideMark/>
          </w:tcPr>
          <w:p w14:paraId="01F5625A"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25.139.110,00</w:t>
            </w:r>
          </w:p>
        </w:tc>
      </w:tr>
      <w:tr w:rsidR="002077D7" w:rsidRPr="002077D7" w14:paraId="2B1A8418" w14:textId="77777777" w:rsidTr="00E70124">
        <w:trPr>
          <w:trHeight w:val="466"/>
        </w:trPr>
        <w:tc>
          <w:tcPr>
            <w:tcW w:w="1259" w:type="dxa"/>
            <w:shd w:val="clear" w:color="auto" w:fill="auto"/>
            <w:vAlign w:val="center"/>
            <w:hideMark/>
          </w:tcPr>
          <w:p w14:paraId="29EB5271" w14:textId="77777777" w:rsidR="002077D7" w:rsidRPr="002077D7" w:rsidRDefault="002077D7" w:rsidP="002077D7">
            <w:pPr>
              <w:spacing w:after="0" w:line="240" w:lineRule="auto"/>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FINANCIJSKI REZULTAT</w:t>
            </w:r>
          </w:p>
        </w:tc>
        <w:tc>
          <w:tcPr>
            <w:tcW w:w="1266" w:type="dxa"/>
            <w:shd w:val="clear" w:color="auto" w:fill="auto"/>
            <w:vAlign w:val="center"/>
            <w:hideMark/>
          </w:tcPr>
          <w:p w14:paraId="43C6851A"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Pr>
                <w:rFonts w:ascii="Calibri" w:eastAsia="Times New Roman" w:hAnsi="Calibri" w:cs="Calibri"/>
                <w:color w:val="000000"/>
                <w:sz w:val="18"/>
                <w:szCs w:val="18"/>
                <w:lang w:eastAsia="hr-HR"/>
              </w:rPr>
              <w:t>-</w:t>
            </w:r>
            <w:r w:rsidRPr="002077D7">
              <w:rPr>
                <w:rFonts w:ascii="Calibri" w:eastAsia="Times New Roman" w:hAnsi="Calibri" w:cs="Calibri"/>
                <w:color w:val="000000"/>
                <w:sz w:val="18"/>
                <w:szCs w:val="18"/>
                <w:lang w:eastAsia="hr-HR"/>
              </w:rPr>
              <w:t>2.435.376,64</w:t>
            </w:r>
          </w:p>
        </w:tc>
        <w:tc>
          <w:tcPr>
            <w:tcW w:w="1266" w:type="dxa"/>
            <w:shd w:val="clear" w:color="auto" w:fill="auto"/>
            <w:vAlign w:val="center"/>
            <w:hideMark/>
          </w:tcPr>
          <w:p w14:paraId="31ED1E4C"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Pr>
                <w:rFonts w:ascii="Calibri" w:eastAsia="Times New Roman" w:hAnsi="Calibri" w:cs="Calibri"/>
                <w:color w:val="000000"/>
                <w:sz w:val="18"/>
                <w:szCs w:val="18"/>
                <w:lang w:eastAsia="hr-HR"/>
              </w:rPr>
              <w:t>-</w:t>
            </w:r>
            <w:r w:rsidRPr="002077D7">
              <w:rPr>
                <w:rFonts w:ascii="Calibri" w:eastAsia="Times New Roman" w:hAnsi="Calibri" w:cs="Calibri"/>
                <w:color w:val="000000"/>
                <w:sz w:val="18"/>
                <w:szCs w:val="18"/>
                <w:lang w:eastAsia="hr-HR"/>
              </w:rPr>
              <w:t>433.368,90</w:t>
            </w:r>
          </w:p>
        </w:tc>
        <w:tc>
          <w:tcPr>
            <w:tcW w:w="1338" w:type="dxa"/>
            <w:shd w:val="clear" w:color="auto" w:fill="auto"/>
            <w:vAlign w:val="center"/>
            <w:hideMark/>
          </w:tcPr>
          <w:p w14:paraId="70B01A01"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4.169.078,00</w:t>
            </w:r>
          </w:p>
        </w:tc>
        <w:tc>
          <w:tcPr>
            <w:tcW w:w="1346" w:type="dxa"/>
            <w:shd w:val="clear" w:color="auto" w:fill="auto"/>
            <w:vAlign w:val="center"/>
            <w:hideMark/>
          </w:tcPr>
          <w:p w14:paraId="2EE294BF"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2.660.146,00</w:t>
            </w:r>
          </w:p>
        </w:tc>
        <w:tc>
          <w:tcPr>
            <w:tcW w:w="1268" w:type="dxa"/>
            <w:shd w:val="clear" w:color="auto" w:fill="auto"/>
            <w:vAlign w:val="center"/>
            <w:hideMark/>
          </w:tcPr>
          <w:p w14:paraId="45712AF1"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3.866.648,00</w:t>
            </w:r>
          </w:p>
        </w:tc>
        <w:tc>
          <w:tcPr>
            <w:tcW w:w="1260" w:type="dxa"/>
            <w:shd w:val="clear" w:color="auto" w:fill="auto"/>
            <w:vAlign w:val="center"/>
            <w:hideMark/>
          </w:tcPr>
          <w:p w14:paraId="21894B4D"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3.336.114,00</w:t>
            </w:r>
          </w:p>
        </w:tc>
      </w:tr>
      <w:tr w:rsidR="002077D7" w:rsidRPr="002077D7" w14:paraId="48B2A020" w14:textId="77777777" w:rsidTr="00E70124">
        <w:trPr>
          <w:trHeight w:val="920"/>
        </w:trPr>
        <w:tc>
          <w:tcPr>
            <w:tcW w:w="1259" w:type="dxa"/>
            <w:shd w:val="clear" w:color="auto" w:fill="auto"/>
            <w:vAlign w:val="center"/>
            <w:hideMark/>
          </w:tcPr>
          <w:p w14:paraId="334A4C42" w14:textId="77777777" w:rsidR="002077D7" w:rsidRPr="002077D7" w:rsidRDefault="002077D7" w:rsidP="002077D7">
            <w:pPr>
              <w:spacing w:after="0" w:line="240" w:lineRule="auto"/>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PRENESENI MANJAK IZ PRETHODNIH GODINA</w:t>
            </w:r>
          </w:p>
        </w:tc>
        <w:tc>
          <w:tcPr>
            <w:tcW w:w="1266" w:type="dxa"/>
            <w:shd w:val="clear" w:color="auto" w:fill="auto"/>
            <w:vAlign w:val="center"/>
            <w:hideMark/>
          </w:tcPr>
          <w:p w14:paraId="445C5B04"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11.596.608,91</w:t>
            </w:r>
          </w:p>
        </w:tc>
        <w:tc>
          <w:tcPr>
            <w:tcW w:w="1266" w:type="dxa"/>
            <w:shd w:val="clear" w:color="auto" w:fill="auto"/>
            <w:vAlign w:val="center"/>
            <w:hideMark/>
          </w:tcPr>
          <w:p w14:paraId="261C7688"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14.031.985,54</w:t>
            </w:r>
          </w:p>
        </w:tc>
        <w:tc>
          <w:tcPr>
            <w:tcW w:w="1338" w:type="dxa"/>
            <w:shd w:val="clear" w:color="auto" w:fill="auto"/>
            <w:vAlign w:val="center"/>
            <w:hideMark/>
          </w:tcPr>
          <w:p w14:paraId="2CFBFD39"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14.031.986,00</w:t>
            </w:r>
          </w:p>
        </w:tc>
        <w:tc>
          <w:tcPr>
            <w:tcW w:w="1346" w:type="dxa"/>
            <w:shd w:val="clear" w:color="auto" w:fill="auto"/>
            <w:vAlign w:val="center"/>
            <w:hideMark/>
          </w:tcPr>
          <w:p w14:paraId="5A2E47ED"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9.862.908,00</w:t>
            </w:r>
          </w:p>
        </w:tc>
        <w:tc>
          <w:tcPr>
            <w:tcW w:w="1268" w:type="dxa"/>
            <w:shd w:val="clear" w:color="auto" w:fill="auto"/>
            <w:vAlign w:val="center"/>
            <w:hideMark/>
          </w:tcPr>
          <w:p w14:paraId="3C8A2F3B"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7.202.762,00</w:t>
            </w:r>
          </w:p>
        </w:tc>
        <w:tc>
          <w:tcPr>
            <w:tcW w:w="1260" w:type="dxa"/>
            <w:shd w:val="clear" w:color="auto" w:fill="auto"/>
            <w:vAlign w:val="center"/>
            <w:hideMark/>
          </w:tcPr>
          <w:p w14:paraId="1C42C600" w14:textId="77777777" w:rsidR="002077D7" w:rsidRPr="002077D7" w:rsidRDefault="002077D7" w:rsidP="002077D7">
            <w:pPr>
              <w:spacing w:after="0" w:line="240" w:lineRule="auto"/>
              <w:jc w:val="right"/>
              <w:rPr>
                <w:rFonts w:ascii="Calibri" w:eastAsia="Times New Roman" w:hAnsi="Calibri" w:cs="Calibri"/>
                <w:color w:val="000000"/>
                <w:sz w:val="18"/>
                <w:szCs w:val="18"/>
                <w:lang w:eastAsia="hr-HR"/>
              </w:rPr>
            </w:pPr>
            <w:r w:rsidRPr="002077D7">
              <w:rPr>
                <w:rFonts w:ascii="Calibri" w:eastAsia="Times New Roman" w:hAnsi="Calibri" w:cs="Calibri"/>
                <w:color w:val="000000"/>
                <w:sz w:val="18"/>
                <w:szCs w:val="18"/>
                <w:lang w:eastAsia="hr-HR"/>
              </w:rPr>
              <w:t>3.336.114,00</w:t>
            </w:r>
          </w:p>
        </w:tc>
      </w:tr>
      <w:tr w:rsidR="002077D7" w:rsidRPr="002077D7" w14:paraId="1185F9AA" w14:textId="77777777" w:rsidTr="00E70124">
        <w:trPr>
          <w:trHeight w:val="920"/>
        </w:trPr>
        <w:tc>
          <w:tcPr>
            <w:tcW w:w="1259" w:type="dxa"/>
            <w:shd w:val="clear" w:color="auto" w:fill="auto"/>
            <w:vAlign w:val="center"/>
            <w:hideMark/>
          </w:tcPr>
          <w:p w14:paraId="07B5D953" w14:textId="77777777" w:rsidR="002077D7" w:rsidRPr="002077D7" w:rsidRDefault="002077D7" w:rsidP="002077D7">
            <w:pPr>
              <w:spacing w:after="0" w:line="240" w:lineRule="auto"/>
              <w:rPr>
                <w:rFonts w:ascii="Calibri" w:eastAsia="Times New Roman" w:hAnsi="Calibri" w:cs="Calibri"/>
                <w:b/>
                <w:bCs/>
                <w:color w:val="000000"/>
                <w:sz w:val="18"/>
                <w:szCs w:val="18"/>
                <w:lang w:eastAsia="hr-HR"/>
              </w:rPr>
            </w:pPr>
            <w:r w:rsidRPr="002077D7">
              <w:rPr>
                <w:rFonts w:ascii="Calibri" w:eastAsia="Times New Roman" w:hAnsi="Calibri" w:cs="Calibri"/>
                <w:b/>
                <w:bCs/>
                <w:color w:val="000000"/>
                <w:sz w:val="18"/>
                <w:szCs w:val="18"/>
                <w:lang w:eastAsia="hr-HR"/>
              </w:rPr>
              <w:t>MANJAK ZA PRIJENOS U SLJEDEĆEM RAZDOBLJU</w:t>
            </w:r>
          </w:p>
        </w:tc>
        <w:tc>
          <w:tcPr>
            <w:tcW w:w="1266" w:type="dxa"/>
            <w:shd w:val="clear" w:color="auto" w:fill="auto"/>
            <w:vAlign w:val="center"/>
            <w:hideMark/>
          </w:tcPr>
          <w:p w14:paraId="665EF5A1" w14:textId="77777777" w:rsidR="002077D7" w:rsidRPr="002077D7" w:rsidRDefault="002077D7" w:rsidP="002077D7">
            <w:pPr>
              <w:spacing w:after="0" w:line="240" w:lineRule="auto"/>
              <w:jc w:val="right"/>
              <w:rPr>
                <w:rFonts w:ascii="Calibri" w:eastAsia="Times New Roman" w:hAnsi="Calibri" w:cs="Calibri"/>
                <w:b/>
                <w:bCs/>
                <w:color w:val="000000"/>
                <w:sz w:val="18"/>
                <w:szCs w:val="18"/>
                <w:lang w:eastAsia="hr-HR"/>
              </w:rPr>
            </w:pPr>
            <w:r w:rsidRPr="002077D7">
              <w:rPr>
                <w:rFonts w:ascii="Calibri" w:eastAsia="Times New Roman" w:hAnsi="Calibri" w:cs="Calibri"/>
                <w:b/>
                <w:bCs/>
                <w:color w:val="000000"/>
                <w:sz w:val="18"/>
                <w:szCs w:val="18"/>
                <w:lang w:eastAsia="hr-HR"/>
              </w:rPr>
              <w:t>14.031.985,54</w:t>
            </w:r>
          </w:p>
        </w:tc>
        <w:tc>
          <w:tcPr>
            <w:tcW w:w="1266" w:type="dxa"/>
            <w:shd w:val="clear" w:color="auto" w:fill="auto"/>
            <w:vAlign w:val="center"/>
            <w:hideMark/>
          </w:tcPr>
          <w:p w14:paraId="64020F55" w14:textId="77777777" w:rsidR="002077D7" w:rsidRPr="002077D7" w:rsidRDefault="002077D7" w:rsidP="002077D7">
            <w:pPr>
              <w:spacing w:after="0" w:line="240" w:lineRule="auto"/>
              <w:jc w:val="right"/>
              <w:rPr>
                <w:rFonts w:ascii="Calibri" w:eastAsia="Times New Roman" w:hAnsi="Calibri" w:cs="Calibri"/>
                <w:b/>
                <w:bCs/>
                <w:color w:val="000000"/>
                <w:sz w:val="18"/>
                <w:szCs w:val="18"/>
                <w:lang w:eastAsia="hr-HR"/>
              </w:rPr>
            </w:pPr>
            <w:r w:rsidRPr="002077D7">
              <w:rPr>
                <w:rFonts w:ascii="Calibri" w:eastAsia="Times New Roman" w:hAnsi="Calibri" w:cs="Calibri"/>
                <w:b/>
                <w:bCs/>
                <w:color w:val="000000"/>
                <w:sz w:val="18"/>
                <w:szCs w:val="18"/>
                <w:lang w:eastAsia="hr-HR"/>
              </w:rPr>
              <w:t>14.465.354,44</w:t>
            </w:r>
          </w:p>
        </w:tc>
        <w:tc>
          <w:tcPr>
            <w:tcW w:w="1338" w:type="dxa"/>
            <w:shd w:val="clear" w:color="auto" w:fill="auto"/>
            <w:vAlign w:val="center"/>
            <w:hideMark/>
          </w:tcPr>
          <w:p w14:paraId="3E1314A8" w14:textId="77777777" w:rsidR="002077D7" w:rsidRPr="002077D7" w:rsidRDefault="002077D7" w:rsidP="002077D7">
            <w:pPr>
              <w:spacing w:after="0" w:line="240" w:lineRule="auto"/>
              <w:jc w:val="right"/>
              <w:rPr>
                <w:rFonts w:ascii="Calibri" w:eastAsia="Times New Roman" w:hAnsi="Calibri" w:cs="Calibri"/>
                <w:b/>
                <w:bCs/>
                <w:color w:val="000000"/>
                <w:sz w:val="18"/>
                <w:szCs w:val="18"/>
                <w:lang w:eastAsia="hr-HR"/>
              </w:rPr>
            </w:pPr>
            <w:r w:rsidRPr="002077D7">
              <w:rPr>
                <w:rFonts w:ascii="Calibri" w:eastAsia="Times New Roman" w:hAnsi="Calibri" w:cs="Calibri"/>
                <w:b/>
                <w:bCs/>
                <w:color w:val="000000"/>
                <w:sz w:val="18"/>
                <w:szCs w:val="18"/>
                <w:lang w:eastAsia="hr-HR"/>
              </w:rPr>
              <w:t>9.862.908,00</w:t>
            </w:r>
          </w:p>
        </w:tc>
        <w:tc>
          <w:tcPr>
            <w:tcW w:w="1346" w:type="dxa"/>
            <w:shd w:val="clear" w:color="auto" w:fill="auto"/>
            <w:vAlign w:val="center"/>
            <w:hideMark/>
          </w:tcPr>
          <w:p w14:paraId="7D0C56A1" w14:textId="77777777" w:rsidR="002077D7" w:rsidRPr="002077D7" w:rsidRDefault="002077D7" w:rsidP="002077D7">
            <w:pPr>
              <w:spacing w:after="0" w:line="240" w:lineRule="auto"/>
              <w:jc w:val="right"/>
              <w:rPr>
                <w:rFonts w:ascii="Calibri" w:eastAsia="Times New Roman" w:hAnsi="Calibri" w:cs="Calibri"/>
                <w:b/>
                <w:bCs/>
                <w:color w:val="000000"/>
                <w:sz w:val="18"/>
                <w:szCs w:val="18"/>
                <w:lang w:eastAsia="hr-HR"/>
              </w:rPr>
            </w:pPr>
            <w:r w:rsidRPr="002077D7">
              <w:rPr>
                <w:rFonts w:ascii="Calibri" w:eastAsia="Times New Roman" w:hAnsi="Calibri" w:cs="Calibri"/>
                <w:b/>
                <w:bCs/>
                <w:color w:val="000000"/>
                <w:sz w:val="18"/>
                <w:szCs w:val="18"/>
                <w:lang w:eastAsia="hr-HR"/>
              </w:rPr>
              <w:t>7.202.762,00</w:t>
            </w:r>
          </w:p>
        </w:tc>
        <w:tc>
          <w:tcPr>
            <w:tcW w:w="1268" w:type="dxa"/>
            <w:shd w:val="clear" w:color="auto" w:fill="auto"/>
            <w:vAlign w:val="center"/>
            <w:hideMark/>
          </w:tcPr>
          <w:p w14:paraId="5D646A61" w14:textId="77777777" w:rsidR="002077D7" w:rsidRPr="002077D7" w:rsidRDefault="002077D7" w:rsidP="002077D7">
            <w:pPr>
              <w:spacing w:after="0" w:line="240" w:lineRule="auto"/>
              <w:jc w:val="right"/>
              <w:rPr>
                <w:rFonts w:ascii="Calibri" w:eastAsia="Times New Roman" w:hAnsi="Calibri" w:cs="Calibri"/>
                <w:b/>
                <w:bCs/>
                <w:color w:val="000000"/>
                <w:sz w:val="18"/>
                <w:szCs w:val="18"/>
                <w:lang w:eastAsia="hr-HR"/>
              </w:rPr>
            </w:pPr>
            <w:r w:rsidRPr="002077D7">
              <w:rPr>
                <w:rFonts w:ascii="Calibri" w:eastAsia="Times New Roman" w:hAnsi="Calibri" w:cs="Calibri"/>
                <w:b/>
                <w:bCs/>
                <w:color w:val="000000"/>
                <w:sz w:val="18"/>
                <w:szCs w:val="18"/>
                <w:lang w:eastAsia="hr-HR"/>
              </w:rPr>
              <w:t>3.336.114,00</w:t>
            </w:r>
          </w:p>
        </w:tc>
        <w:tc>
          <w:tcPr>
            <w:tcW w:w="1260" w:type="dxa"/>
            <w:shd w:val="clear" w:color="auto" w:fill="auto"/>
            <w:vAlign w:val="center"/>
            <w:hideMark/>
          </w:tcPr>
          <w:p w14:paraId="7051E9DF" w14:textId="77777777" w:rsidR="002077D7" w:rsidRPr="002077D7" w:rsidRDefault="002077D7" w:rsidP="002077D7">
            <w:pPr>
              <w:spacing w:after="0" w:line="240" w:lineRule="auto"/>
              <w:jc w:val="right"/>
              <w:rPr>
                <w:rFonts w:ascii="Calibri" w:eastAsia="Times New Roman" w:hAnsi="Calibri" w:cs="Calibri"/>
                <w:b/>
                <w:bCs/>
                <w:color w:val="000000"/>
                <w:sz w:val="18"/>
                <w:szCs w:val="18"/>
                <w:lang w:eastAsia="hr-HR"/>
              </w:rPr>
            </w:pPr>
            <w:r w:rsidRPr="002077D7">
              <w:rPr>
                <w:rFonts w:ascii="Calibri" w:eastAsia="Times New Roman" w:hAnsi="Calibri" w:cs="Calibri"/>
                <w:b/>
                <w:bCs/>
                <w:color w:val="000000"/>
                <w:sz w:val="18"/>
                <w:szCs w:val="18"/>
                <w:lang w:eastAsia="hr-HR"/>
              </w:rPr>
              <w:t>0,00</w:t>
            </w:r>
          </w:p>
        </w:tc>
      </w:tr>
    </w:tbl>
    <w:p w14:paraId="5BC7A6BA" w14:textId="77777777" w:rsidR="007E5E09" w:rsidRPr="007E5E09" w:rsidRDefault="007E5E09" w:rsidP="007E5E09"/>
    <w:p w14:paraId="155421B6" w14:textId="77777777" w:rsidR="00961A74" w:rsidRDefault="0025698E" w:rsidP="00F16607">
      <w:pPr>
        <w:spacing w:line="240" w:lineRule="auto"/>
        <w:jc w:val="both"/>
      </w:pPr>
      <w:r>
        <w:t>Proračunsku</w:t>
      </w:r>
      <w:r w:rsidR="002077D7">
        <w:t xml:space="preserve"> 2022</w:t>
      </w:r>
      <w:r w:rsidR="00961A74" w:rsidRPr="00B545DF">
        <w:t xml:space="preserve">. godinu </w:t>
      </w:r>
      <w:r w:rsidR="00CE3B9F">
        <w:t xml:space="preserve">Bolnica je završila </w:t>
      </w:r>
      <w:r w:rsidR="00961A74" w:rsidRPr="00B545DF">
        <w:t xml:space="preserve">sa </w:t>
      </w:r>
      <w:r w:rsidR="00E936C2">
        <w:t>manjkom</w:t>
      </w:r>
      <w:r w:rsidR="00961A74" w:rsidRPr="00B545DF">
        <w:t xml:space="preserve"> prihoda poslovanja u iznosu </w:t>
      </w:r>
      <w:r w:rsidR="002077D7">
        <w:t>2.435.376,64 €.</w:t>
      </w:r>
      <w:r w:rsidR="00961A74" w:rsidRPr="00B545DF">
        <w:t xml:space="preserve"> Kada </w:t>
      </w:r>
      <w:r w:rsidR="00CE3B9F">
        <w:t>se tom iznosu pridoda</w:t>
      </w:r>
      <w:r w:rsidR="00961A74" w:rsidRPr="00B545DF">
        <w:t xml:space="preserve"> preneseni </w:t>
      </w:r>
      <w:r w:rsidR="002077D7">
        <w:t>manjak</w:t>
      </w:r>
      <w:r w:rsidR="00961A74" w:rsidRPr="00B545DF">
        <w:t xml:space="preserve"> p</w:t>
      </w:r>
      <w:r w:rsidR="002077D7">
        <w:t>rihoda iz poslovne 2021</w:t>
      </w:r>
      <w:r w:rsidR="00B545DF" w:rsidRPr="00B545DF">
        <w:t>. godine</w:t>
      </w:r>
      <w:r w:rsidR="00E936C2">
        <w:t xml:space="preserve"> u iznosu </w:t>
      </w:r>
      <w:r w:rsidR="002077D7">
        <w:t xml:space="preserve">11.596.608,91 € </w:t>
      </w:r>
      <w:r w:rsidR="00B545DF" w:rsidRPr="00B545DF">
        <w:t xml:space="preserve"> </w:t>
      </w:r>
      <w:r w:rsidR="001412C2">
        <w:t xml:space="preserve">korigirani rezultat iznosi </w:t>
      </w:r>
      <w:r w:rsidR="002077D7">
        <w:t>-14.031.985,64 €.</w:t>
      </w:r>
    </w:p>
    <w:p w14:paraId="579E0B6C" w14:textId="77777777" w:rsidR="002077D7" w:rsidRDefault="002077D7" w:rsidP="00F16607">
      <w:pPr>
        <w:spacing w:line="240" w:lineRule="auto"/>
        <w:jc w:val="both"/>
      </w:pPr>
      <w:r>
        <w:t xml:space="preserve">Manjak prihoda proračunske 2022. godine rezultat je </w:t>
      </w:r>
      <w:proofErr w:type="spellStart"/>
      <w:r>
        <w:t>preknjiženja</w:t>
      </w:r>
      <w:proofErr w:type="spellEnd"/>
      <w:r>
        <w:t xml:space="preserve"> neizvršenja limita za 2022. godinu sukladno naputku Ministarstva financija (stornirani prihodi-zadužene obveze) te Okončane situacije za izvedene radove </w:t>
      </w:r>
      <w:r w:rsidR="00CE3B9F">
        <w:t>na izgradnji novog Nacionalnog rehabilitacijskog centra za osobe s bolestima kralježnične moždine za koje nisu bila refundirana sredstva iz planiranih izvora.</w:t>
      </w:r>
    </w:p>
    <w:p w14:paraId="652912F0" w14:textId="77777777" w:rsidR="00CE3B9F" w:rsidRDefault="00CE3B9F" w:rsidP="00F16607">
      <w:pPr>
        <w:spacing w:line="240" w:lineRule="auto"/>
        <w:jc w:val="both"/>
      </w:pPr>
      <w:r>
        <w:t>Proračunsku 2023. godinu Bolnica planira završiti sa viškom prihoda poslovanja u iznosu 4.169.078,00 €. Kada se od prenesenog manjka prihoda iz poslovne 2022. godine oduzme ostvareni višak prihoda poslovanja dobiva se korigirani manjak prihoda poslovanja u iznosu 9.862.908,00 €.</w:t>
      </w:r>
    </w:p>
    <w:p w14:paraId="73C85FD2" w14:textId="77777777" w:rsidR="00D03FA3" w:rsidRDefault="00A0450E" w:rsidP="00F16607">
      <w:pPr>
        <w:spacing w:line="240" w:lineRule="auto"/>
        <w:jc w:val="both"/>
      </w:pPr>
      <w:r>
        <w:t>U proračunsku 2024. godinu donosi se preneseni manjak prihoda iz prethodnih godina u iznosu 9.862.908,00 €, poslovanje se završava sa ostvarenim viškom u iznosu od 2.660.146,00 €, tako da korigirani rezultat iznosi 7.202.762,00 €.</w:t>
      </w:r>
    </w:p>
    <w:p w14:paraId="6910E4F0" w14:textId="77777777" w:rsidR="00A0450E" w:rsidRDefault="00A0450E" w:rsidP="00F16607">
      <w:pPr>
        <w:spacing w:line="240" w:lineRule="auto"/>
        <w:jc w:val="both"/>
      </w:pPr>
      <w:r>
        <w:t>U proračunsku 2025. godinu donosi se preneseni manjak prihoda iz prethodnih godina u iznosu 7.202.762,00 €, poslovanje se planira završiti sa ostvarenim viškom u iznosu od 3.866.648,00 €, tako da će korigirani rezultat iznositi 3.336.114,00 € koji se planira u potpunosti zatvoriti u poslovnoj 2026. godini.</w:t>
      </w:r>
    </w:p>
    <w:p w14:paraId="482BA986" w14:textId="77777777" w:rsidR="009F3F9C" w:rsidRDefault="009F3F9C" w:rsidP="00F16607">
      <w:pPr>
        <w:spacing w:line="240" w:lineRule="auto"/>
        <w:jc w:val="both"/>
      </w:pPr>
      <w:r>
        <w:t>Evidentirani manjak prihoda odnosi se na manjak prihoda iz Izvora 43 Prihoda po posebnim propisima, odnosno neizvršenje limita prema HZZO-u. Bolnici se mjesečno doznačuju ugovoreni iznosi limita, a na prihodovnoj strani iskazuje se samo izvršenje, dok se neizvršenje evidentira kao obveza za manje izvršen rad. Neizvršenje limita najvećim je dijelom rezultat pandemije COVID-19. Zbog bojazni od moguće zaraze korisnici usluga nisu prihvaćali ponuđene rezervacije. Navedena pandemija najviše je utjecala na poslovanje u 2020. i 2021. godini.</w:t>
      </w:r>
    </w:p>
    <w:p w14:paraId="4E134774" w14:textId="77777777" w:rsidR="00E936C2" w:rsidRPr="00B545DF" w:rsidRDefault="00334D11" w:rsidP="00F16607">
      <w:pPr>
        <w:spacing w:line="240" w:lineRule="auto"/>
        <w:jc w:val="both"/>
      </w:pPr>
      <w:r>
        <w:t>Specijalna bolnica je do sada veliku pažnju posvećivala praćenju natječaja iz EU fondova te pripremi i prijavi na iste te je uspješno povlačila EU sredstva. Kako bi se nastavilo s investicijskim ciklusom i strateškim projektima potrebno je i nadalje staviti veliki naglasak na iznalaženje sredstava putem EU natječaja</w:t>
      </w:r>
    </w:p>
    <w:p w14:paraId="54A91BCF" w14:textId="77777777" w:rsidR="006E7F7A" w:rsidRPr="00675EDC" w:rsidRDefault="006E7F7A" w:rsidP="00F16607">
      <w:pPr>
        <w:pStyle w:val="Naslov1"/>
        <w:spacing w:line="240" w:lineRule="auto"/>
        <w:jc w:val="both"/>
        <w:rPr>
          <w:color w:val="1F4E79" w:themeColor="accent1" w:themeShade="80"/>
        </w:rPr>
      </w:pPr>
      <w:r w:rsidRPr="00675EDC">
        <w:rPr>
          <w:b/>
          <w:color w:val="1F4E79" w:themeColor="accent1" w:themeShade="80"/>
        </w:rPr>
        <w:lastRenderedPageBreak/>
        <w:t>II</w:t>
      </w:r>
      <w:r w:rsidRPr="00675EDC">
        <w:rPr>
          <w:color w:val="1F4E79" w:themeColor="accent1" w:themeShade="80"/>
        </w:rPr>
        <w:t xml:space="preserve"> </w:t>
      </w:r>
      <w:r w:rsidR="00683380" w:rsidRPr="00675EDC">
        <w:rPr>
          <w:b/>
          <w:color w:val="1F4E79" w:themeColor="accent1" w:themeShade="80"/>
        </w:rPr>
        <w:t>PRIJEDLOG MJERA ZA OTKLANJANJE UZROKA NEGATIVNOG POSLOVANJA I MJERA ZA STABILNO POSLOVANJE</w:t>
      </w:r>
    </w:p>
    <w:p w14:paraId="769CB8E6" w14:textId="77777777" w:rsidR="006E7F7A" w:rsidRPr="00B545DF" w:rsidRDefault="0025698E" w:rsidP="00F16607">
      <w:pPr>
        <w:pStyle w:val="Odlomakpopisa"/>
        <w:numPr>
          <w:ilvl w:val="0"/>
          <w:numId w:val="2"/>
        </w:numPr>
        <w:spacing w:line="240" w:lineRule="auto"/>
      </w:pPr>
      <w:r>
        <w:t>Financijskim plan</w:t>
      </w:r>
      <w:r w:rsidR="006E7F7A" w:rsidRPr="00B545DF">
        <w:t>om i izmjenama i dopunama planirati pokriće manjka;</w:t>
      </w:r>
    </w:p>
    <w:p w14:paraId="756E548D" w14:textId="77777777" w:rsidR="006E7F7A" w:rsidRPr="00B545DF" w:rsidRDefault="006E7F7A" w:rsidP="00F16607">
      <w:pPr>
        <w:pStyle w:val="Odlomakpopisa"/>
        <w:numPr>
          <w:ilvl w:val="0"/>
          <w:numId w:val="2"/>
        </w:numPr>
        <w:spacing w:line="240" w:lineRule="auto"/>
      </w:pPr>
      <w:r w:rsidRPr="00B545DF">
        <w:t xml:space="preserve">Kod planiranja i izvršavanja </w:t>
      </w:r>
      <w:r w:rsidR="0025698E">
        <w:t>Financijskog plan</w:t>
      </w:r>
      <w:r w:rsidRPr="00B545DF">
        <w:t>a prioritet imaju zakonske i ugovorne obveze;</w:t>
      </w:r>
    </w:p>
    <w:p w14:paraId="24AE8EF3" w14:textId="77777777" w:rsidR="006E7F7A" w:rsidRPr="00B545DF" w:rsidRDefault="006E7F7A" w:rsidP="00F16607">
      <w:pPr>
        <w:pStyle w:val="Odlomakpopisa"/>
        <w:numPr>
          <w:ilvl w:val="0"/>
          <w:numId w:val="2"/>
        </w:numPr>
        <w:spacing w:line="240" w:lineRule="auto"/>
      </w:pPr>
      <w:r w:rsidRPr="00B545DF">
        <w:t>Kontinuirano praćenje naplate prihoda i preuzimanje obveza u skladu s njihovim ostvarenjem;</w:t>
      </w:r>
    </w:p>
    <w:p w14:paraId="57AEBF24" w14:textId="77777777" w:rsidR="006E7F7A" w:rsidRPr="00B545DF" w:rsidRDefault="006E7F7A" w:rsidP="00F16607">
      <w:pPr>
        <w:pStyle w:val="Odlomakpopisa"/>
        <w:numPr>
          <w:ilvl w:val="0"/>
          <w:numId w:val="2"/>
        </w:numPr>
        <w:spacing w:line="240" w:lineRule="auto"/>
      </w:pPr>
      <w:r w:rsidRPr="00B545DF">
        <w:t xml:space="preserve">Povećanje financiranja </w:t>
      </w:r>
      <w:r w:rsidR="0025698E">
        <w:t>proračunskih</w:t>
      </w:r>
      <w:r w:rsidRPr="00B545DF">
        <w:t xml:space="preserve"> projekata i aktivnosti iz tekućih i kapitalnih pomoći prijavom projekata na natječaje europskih i drugih fondova;</w:t>
      </w:r>
    </w:p>
    <w:p w14:paraId="65E7B120" w14:textId="77777777" w:rsidR="006E7F7A" w:rsidRPr="00B545DF" w:rsidRDefault="00683380" w:rsidP="00F16607">
      <w:pPr>
        <w:pStyle w:val="Odlomakpopisa"/>
        <w:numPr>
          <w:ilvl w:val="0"/>
          <w:numId w:val="2"/>
        </w:numPr>
        <w:spacing w:line="240" w:lineRule="auto"/>
      </w:pPr>
      <w:r w:rsidRPr="00B545DF">
        <w:t xml:space="preserve">Smanjenje materijalnih rashoda uz zadržavanje kvalitete rada i pružanja usluga </w:t>
      </w:r>
      <w:r w:rsidR="00660E9C">
        <w:t>našim korisnicima</w:t>
      </w:r>
      <w:r w:rsidRPr="00B545DF">
        <w:t>;</w:t>
      </w:r>
    </w:p>
    <w:p w14:paraId="04830BCB" w14:textId="77777777" w:rsidR="00683380" w:rsidRPr="00B545DF" w:rsidRDefault="00683380" w:rsidP="00F16607">
      <w:pPr>
        <w:pStyle w:val="Odlomakpopisa"/>
        <w:numPr>
          <w:ilvl w:val="0"/>
          <w:numId w:val="2"/>
        </w:numPr>
        <w:spacing w:line="240" w:lineRule="auto"/>
      </w:pPr>
      <w:r w:rsidRPr="00B545DF">
        <w:t>Poboljšavanje uvjeta za daljnji rast i razvoj.</w:t>
      </w:r>
    </w:p>
    <w:p w14:paraId="32682531" w14:textId="77777777" w:rsidR="00683380" w:rsidRPr="00675EDC" w:rsidRDefault="00683380" w:rsidP="00F16607">
      <w:pPr>
        <w:pStyle w:val="Naslov1"/>
        <w:spacing w:line="240" w:lineRule="auto"/>
        <w:rPr>
          <w:b/>
          <w:color w:val="1F4E79" w:themeColor="accent1" w:themeShade="80"/>
        </w:rPr>
      </w:pPr>
      <w:r w:rsidRPr="00675EDC">
        <w:rPr>
          <w:b/>
          <w:color w:val="1F4E79" w:themeColor="accent1" w:themeShade="80"/>
        </w:rPr>
        <w:t>III AKCIJSKI PLAN PROVEDBE MJERA</w:t>
      </w:r>
    </w:p>
    <w:tbl>
      <w:tblPr>
        <w:tblStyle w:val="Reetkatablice"/>
        <w:tblW w:w="9639" w:type="dxa"/>
        <w:tblInd w:w="-5" w:type="dxa"/>
        <w:tblLook w:val="04A0" w:firstRow="1" w:lastRow="0" w:firstColumn="1" w:lastColumn="0" w:noHBand="0" w:noVBand="1"/>
      </w:tblPr>
      <w:tblGrid>
        <w:gridCol w:w="2082"/>
        <w:gridCol w:w="2171"/>
        <w:gridCol w:w="1984"/>
        <w:gridCol w:w="1843"/>
        <w:gridCol w:w="1559"/>
      </w:tblGrid>
      <w:tr w:rsidR="00DE5909" w:rsidRPr="00B545DF" w14:paraId="086DC644" w14:textId="77777777" w:rsidTr="00DE5909">
        <w:tc>
          <w:tcPr>
            <w:tcW w:w="2082" w:type="dxa"/>
            <w:shd w:val="clear" w:color="auto" w:fill="EAF1DD"/>
          </w:tcPr>
          <w:p w14:paraId="6067965A" w14:textId="77777777" w:rsidR="00DE5909" w:rsidRPr="00B545DF" w:rsidRDefault="00DE5909" w:rsidP="00F16607">
            <w:pPr>
              <w:jc w:val="center"/>
              <w:rPr>
                <w:rFonts w:ascii="Calibri" w:eastAsia="Calibri" w:hAnsi="Calibri" w:cs="Calibri"/>
              </w:rPr>
            </w:pPr>
            <w:r w:rsidRPr="00B545DF">
              <w:rPr>
                <w:rFonts w:ascii="Calibri" w:eastAsia="Calibri" w:hAnsi="Calibri" w:cs="Calibri"/>
              </w:rPr>
              <w:t>NAZIV MJERE</w:t>
            </w:r>
          </w:p>
        </w:tc>
        <w:tc>
          <w:tcPr>
            <w:tcW w:w="2171" w:type="dxa"/>
            <w:shd w:val="clear" w:color="auto" w:fill="EAF1DD"/>
          </w:tcPr>
          <w:p w14:paraId="00FFD477" w14:textId="77777777" w:rsidR="00DE5909" w:rsidRPr="00B545DF" w:rsidRDefault="00DE5909" w:rsidP="00F16607">
            <w:pPr>
              <w:jc w:val="center"/>
              <w:rPr>
                <w:rFonts w:ascii="Calibri" w:eastAsia="Calibri" w:hAnsi="Calibri" w:cs="Calibri"/>
              </w:rPr>
            </w:pPr>
            <w:r w:rsidRPr="00B545DF">
              <w:rPr>
                <w:rFonts w:ascii="Calibri" w:eastAsia="Calibri" w:hAnsi="Calibri" w:cs="Calibri"/>
              </w:rPr>
              <w:t>OPIS/NAČIN PROVEDBE</w:t>
            </w:r>
          </w:p>
        </w:tc>
        <w:tc>
          <w:tcPr>
            <w:tcW w:w="1984" w:type="dxa"/>
            <w:shd w:val="clear" w:color="auto" w:fill="EAF1DD"/>
          </w:tcPr>
          <w:p w14:paraId="71867D91" w14:textId="77777777" w:rsidR="00DE5909" w:rsidRPr="00B545DF" w:rsidRDefault="00DE5909" w:rsidP="00F16607">
            <w:pPr>
              <w:jc w:val="center"/>
              <w:rPr>
                <w:rFonts w:ascii="Calibri" w:eastAsia="Calibri" w:hAnsi="Calibri" w:cs="Calibri"/>
              </w:rPr>
            </w:pPr>
            <w:r w:rsidRPr="00B545DF">
              <w:rPr>
                <w:rFonts w:ascii="Calibri" w:eastAsia="Calibri" w:hAnsi="Calibri" w:cs="Calibri"/>
              </w:rPr>
              <w:t>ROK PROVEDBE</w:t>
            </w:r>
          </w:p>
        </w:tc>
        <w:tc>
          <w:tcPr>
            <w:tcW w:w="1843" w:type="dxa"/>
            <w:shd w:val="clear" w:color="auto" w:fill="EAF1DD"/>
          </w:tcPr>
          <w:p w14:paraId="4F8C278D" w14:textId="77777777" w:rsidR="00DE5909" w:rsidRPr="00B545DF" w:rsidRDefault="00266D01" w:rsidP="00F16607">
            <w:pPr>
              <w:jc w:val="center"/>
              <w:rPr>
                <w:rFonts w:ascii="Calibri" w:eastAsia="Calibri" w:hAnsi="Calibri" w:cs="Calibri"/>
              </w:rPr>
            </w:pPr>
            <w:r>
              <w:rPr>
                <w:rFonts w:ascii="Calibri" w:eastAsia="Calibri" w:hAnsi="Calibri" w:cs="Calibri"/>
              </w:rPr>
              <w:t>OČEKIVANI UČINAK</w:t>
            </w:r>
          </w:p>
        </w:tc>
        <w:tc>
          <w:tcPr>
            <w:tcW w:w="1559" w:type="dxa"/>
            <w:shd w:val="clear" w:color="auto" w:fill="EAF1DD"/>
          </w:tcPr>
          <w:p w14:paraId="4ED6259D" w14:textId="77777777" w:rsidR="00DE5909" w:rsidRPr="00B545DF" w:rsidRDefault="00266D01" w:rsidP="00F16607">
            <w:pPr>
              <w:jc w:val="center"/>
              <w:rPr>
                <w:rFonts w:ascii="Calibri" w:eastAsia="Calibri" w:hAnsi="Calibri" w:cs="Calibri"/>
              </w:rPr>
            </w:pPr>
            <w:r>
              <w:rPr>
                <w:rFonts w:ascii="Calibri" w:eastAsia="Calibri" w:hAnsi="Calibri" w:cs="Calibri"/>
              </w:rPr>
              <w:t>ODGOVORNE OSOBE</w:t>
            </w:r>
          </w:p>
        </w:tc>
      </w:tr>
      <w:tr w:rsidR="00DE5909" w:rsidRPr="00B545DF" w14:paraId="26EE759C" w14:textId="77777777" w:rsidTr="00134320">
        <w:tc>
          <w:tcPr>
            <w:tcW w:w="2082" w:type="dxa"/>
            <w:vAlign w:val="center"/>
          </w:tcPr>
          <w:p w14:paraId="765BC417" w14:textId="77777777" w:rsidR="00DE5909" w:rsidRPr="00251567" w:rsidRDefault="00DE5909" w:rsidP="00134320">
            <w:pPr>
              <w:rPr>
                <w:rFonts w:ascii="Calibri" w:eastAsia="Calibri" w:hAnsi="Calibri" w:cs="Calibri"/>
                <w:sz w:val="20"/>
                <w:szCs w:val="20"/>
              </w:rPr>
            </w:pPr>
            <w:r w:rsidRPr="00251567">
              <w:rPr>
                <w:rFonts w:ascii="Calibri" w:eastAsia="Calibri" w:hAnsi="Calibri" w:cs="Calibri"/>
                <w:sz w:val="20"/>
                <w:szCs w:val="20"/>
              </w:rPr>
              <w:t>1. Odlukom o donošenju Financijskog plana te izmjenama i dopunama planirati pokriće manjka</w:t>
            </w:r>
          </w:p>
          <w:p w14:paraId="397E98B2" w14:textId="77777777" w:rsidR="00DE5909" w:rsidRPr="00251567" w:rsidRDefault="00DE5909" w:rsidP="00134320">
            <w:pPr>
              <w:ind w:left="360"/>
              <w:rPr>
                <w:rFonts w:ascii="Calibri" w:eastAsia="Calibri" w:hAnsi="Calibri" w:cs="Calibri"/>
                <w:sz w:val="20"/>
                <w:szCs w:val="20"/>
              </w:rPr>
            </w:pPr>
          </w:p>
        </w:tc>
        <w:tc>
          <w:tcPr>
            <w:tcW w:w="2171" w:type="dxa"/>
            <w:vAlign w:val="center"/>
          </w:tcPr>
          <w:p w14:paraId="48B4C5B2" w14:textId="77777777" w:rsidR="00DE5909" w:rsidRPr="00251567" w:rsidRDefault="00DE5909" w:rsidP="00134320">
            <w:pPr>
              <w:rPr>
                <w:rFonts w:ascii="Calibri" w:eastAsia="Calibri" w:hAnsi="Calibri" w:cs="Calibri"/>
                <w:sz w:val="20"/>
                <w:szCs w:val="20"/>
              </w:rPr>
            </w:pPr>
            <w:r w:rsidRPr="00251567">
              <w:rPr>
                <w:rFonts w:ascii="Calibri" w:eastAsia="Calibri" w:hAnsi="Calibri" w:cs="Calibri"/>
                <w:sz w:val="20"/>
                <w:szCs w:val="20"/>
              </w:rPr>
              <w:t xml:space="preserve">Financijski plan  koji uključuje rezultat poslovanja pruža cjelovit financijski okvir za donošenje odluka o budućoj potrošnji i izvorima financiranja. </w:t>
            </w:r>
          </w:p>
        </w:tc>
        <w:tc>
          <w:tcPr>
            <w:tcW w:w="1984" w:type="dxa"/>
            <w:vAlign w:val="center"/>
          </w:tcPr>
          <w:p w14:paraId="5A11201E" w14:textId="77777777" w:rsidR="00DE5909" w:rsidRPr="00251567" w:rsidRDefault="00DE5909" w:rsidP="00134320">
            <w:pPr>
              <w:rPr>
                <w:rFonts w:ascii="Calibri" w:eastAsia="Calibri" w:hAnsi="Calibri" w:cs="Calibri"/>
                <w:sz w:val="20"/>
                <w:szCs w:val="20"/>
              </w:rPr>
            </w:pPr>
            <w:r w:rsidRPr="00251567">
              <w:rPr>
                <w:rFonts w:ascii="Calibri" w:eastAsia="Calibri" w:hAnsi="Calibri" w:cs="Calibri"/>
                <w:sz w:val="20"/>
                <w:szCs w:val="20"/>
              </w:rPr>
              <w:t>Zakonski rokovi, a prema potrebi prilikom izmjena i dopuna Financijskog plana u narednom razdoblju</w:t>
            </w:r>
          </w:p>
        </w:tc>
        <w:tc>
          <w:tcPr>
            <w:tcW w:w="1843" w:type="dxa"/>
            <w:vAlign w:val="center"/>
          </w:tcPr>
          <w:p w14:paraId="5E0A12A9" w14:textId="77777777" w:rsidR="00DE5909" w:rsidRPr="00251567" w:rsidRDefault="00DE5909" w:rsidP="00134320">
            <w:pPr>
              <w:rPr>
                <w:rFonts w:ascii="Calibri" w:eastAsia="Calibri" w:hAnsi="Calibri" w:cs="Calibri"/>
                <w:sz w:val="20"/>
                <w:szCs w:val="20"/>
              </w:rPr>
            </w:pPr>
            <w:r w:rsidRPr="00251567">
              <w:rPr>
                <w:rFonts w:ascii="Calibri" w:eastAsia="Calibri" w:hAnsi="Calibri" w:cs="Calibri"/>
                <w:sz w:val="20"/>
                <w:szCs w:val="20"/>
              </w:rPr>
              <w:t>Smanjenje troškova</w:t>
            </w:r>
            <w:r w:rsidR="002D7FF4" w:rsidRPr="00251567">
              <w:rPr>
                <w:rFonts w:ascii="Calibri" w:eastAsia="Calibri" w:hAnsi="Calibri" w:cs="Calibri"/>
                <w:sz w:val="20"/>
                <w:szCs w:val="20"/>
              </w:rPr>
              <w:t xml:space="preserve"> poslovanja</w:t>
            </w:r>
          </w:p>
        </w:tc>
        <w:tc>
          <w:tcPr>
            <w:tcW w:w="1559" w:type="dxa"/>
            <w:vAlign w:val="center"/>
          </w:tcPr>
          <w:p w14:paraId="437ACF96" w14:textId="77777777" w:rsidR="00DE5909" w:rsidRDefault="007218EE" w:rsidP="00134320">
            <w:pPr>
              <w:rPr>
                <w:rFonts w:ascii="Calibri" w:eastAsia="Calibri" w:hAnsi="Calibri" w:cs="Calibri"/>
                <w:sz w:val="20"/>
                <w:szCs w:val="20"/>
              </w:rPr>
            </w:pPr>
            <w:r>
              <w:rPr>
                <w:rFonts w:ascii="Calibri" w:eastAsia="Calibri" w:hAnsi="Calibri" w:cs="Calibri"/>
                <w:sz w:val="20"/>
                <w:szCs w:val="20"/>
              </w:rPr>
              <w:t>Ravnatelj,</w:t>
            </w:r>
          </w:p>
          <w:p w14:paraId="597A8070" w14:textId="77777777" w:rsidR="007218EE" w:rsidRDefault="007218EE" w:rsidP="00134320">
            <w:pPr>
              <w:rPr>
                <w:rFonts w:ascii="Calibri" w:eastAsia="Calibri" w:hAnsi="Calibri" w:cs="Calibri"/>
                <w:sz w:val="20"/>
                <w:szCs w:val="20"/>
              </w:rPr>
            </w:pPr>
            <w:r>
              <w:rPr>
                <w:rFonts w:ascii="Calibri" w:eastAsia="Calibri" w:hAnsi="Calibri" w:cs="Calibri"/>
                <w:sz w:val="20"/>
                <w:szCs w:val="20"/>
              </w:rPr>
              <w:t>Zamjenik ravnatelja,</w:t>
            </w:r>
          </w:p>
          <w:p w14:paraId="4B9E2573" w14:textId="77777777" w:rsidR="007218EE" w:rsidRDefault="007218EE" w:rsidP="00134320">
            <w:pPr>
              <w:rPr>
                <w:rFonts w:ascii="Calibri" w:eastAsia="Calibri" w:hAnsi="Calibri" w:cs="Calibri"/>
                <w:sz w:val="20"/>
                <w:szCs w:val="20"/>
              </w:rPr>
            </w:pPr>
            <w:r>
              <w:rPr>
                <w:rFonts w:ascii="Calibri" w:eastAsia="Calibri" w:hAnsi="Calibri" w:cs="Calibri"/>
                <w:sz w:val="20"/>
                <w:szCs w:val="20"/>
              </w:rPr>
              <w:t>Voditelj ekonomsko-financijskih poslova</w:t>
            </w:r>
          </w:p>
          <w:p w14:paraId="0D0F81AD" w14:textId="77777777" w:rsidR="007218EE" w:rsidRPr="00134320" w:rsidRDefault="007218EE" w:rsidP="00134320">
            <w:pPr>
              <w:rPr>
                <w:rFonts w:ascii="Calibri" w:eastAsia="Calibri" w:hAnsi="Calibri" w:cs="Calibri"/>
                <w:sz w:val="20"/>
                <w:szCs w:val="20"/>
              </w:rPr>
            </w:pPr>
            <w:r>
              <w:rPr>
                <w:rFonts w:ascii="Calibri" w:eastAsia="Calibri" w:hAnsi="Calibri" w:cs="Calibri"/>
                <w:sz w:val="20"/>
                <w:szCs w:val="20"/>
              </w:rPr>
              <w:t>Svi voditelji Odjela – svaki za svoje područje</w:t>
            </w:r>
          </w:p>
        </w:tc>
      </w:tr>
      <w:tr w:rsidR="00DE5909" w:rsidRPr="00B545DF" w14:paraId="1C501524" w14:textId="77777777" w:rsidTr="00134320">
        <w:trPr>
          <w:trHeight w:val="1334"/>
        </w:trPr>
        <w:tc>
          <w:tcPr>
            <w:tcW w:w="2082" w:type="dxa"/>
            <w:vAlign w:val="center"/>
          </w:tcPr>
          <w:p w14:paraId="25229826" w14:textId="77777777" w:rsidR="00DE5909" w:rsidRPr="00251567" w:rsidRDefault="00DE5909" w:rsidP="00134320">
            <w:pPr>
              <w:rPr>
                <w:rFonts w:ascii="Calibri" w:eastAsia="Calibri" w:hAnsi="Calibri" w:cs="Calibri"/>
                <w:sz w:val="20"/>
                <w:szCs w:val="20"/>
              </w:rPr>
            </w:pPr>
            <w:r w:rsidRPr="00251567">
              <w:rPr>
                <w:rFonts w:ascii="Calibri" w:eastAsia="Calibri" w:hAnsi="Calibri" w:cs="Calibri"/>
                <w:sz w:val="20"/>
                <w:szCs w:val="20"/>
              </w:rPr>
              <w:t>2. Kod planiranja i izvršavanja Financijskog plana prioritet imaju zakonske i ugovorne obveze</w:t>
            </w:r>
          </w:p>
        </w:tc>
        <w:tc>
          <w:tcPr>
            <w:tcW w:w="2171" w:type="dxa"/>
            <w:vAlign w:val="center"/>
          </w:tcPr>
          <w:p w14:paraId="3B339F4E" w14:textId="77777777" w:rsidR="00DE5909" w:rsidRPr="00251567" w:rsidRDefault="00DE5909" w:rsidP="00134320">
            <w:pPr>
              <w:rPr>
                <w:rFonts w:ascii="Calibri" w:eastAsia="Calibri" w:hAnsi="Calibri" w:cs="Calibri"/>
                <w:sz w:val="20"/>
                <w:szCs w:val="20"/>
              </w:rPr>
            </w:pPr>
            <w:r w:rsidRPr="00251567">
              <w:rPr>
                <w:rFonts w:ascii="Calibri" w:eastAsia="Calibri" w:hAnsi="Calibri" w:cs="Calibri"/>
                <w:sz w:val="20"/>
                <w:szCs w:val="20"/>
              </w:rPr>
              <w:t>Mjera podrazumijeva prioritetno podmirivanje već preuzetih obveza, odnosno zakonskih obveza.</w:t>
            </w:r>
          </w:p>
        </w:tc>
        <w:tc>
          <w:tcPr>
            <w:tcW w:w="1984" w:type="dxa"/>
            <w:vAlign w:val="center"/>
          </w:tcPr>
          <w:p w14:paraId="46734156" w14:textId="77777777" w:rsidR="00DE5909" w:rsidRPr="00251567" w:rsidRDefault="00DE5909" w:rsidP="00134320">
            <w:pPr>
              <w:rPr>
                <w:rFonts w:ascii="Calibri" w:eastAsia="Calibri" w:hAnsi="Calibri" w:cs="Calibri"/>
                <w:sz w:val="20"/>
                <w:szCs w:val="20"/>
              </w:rPr>
            </w:pPr>
          </w:p>
          <w:p w14:paraId="4E9E5D74" w14:textId="77777777" w:rsidR="00DE5909" w:rsidRPr="00251567" w:rsidRDefault="00DE5909" w:rsidP="00134320">
            <w:pPr>
              <w:rPr>
                <w:rFonts w:ascii="Calibri" w:eastAsia="Calibri" w:hAnsi="Calibri" w:cs="Calibri"/>
                <w:sz w:val="20"/>
                <w:szCs w:val="20"/>
              </w:rPr>
            </w:pPr>
            <w:r w:rsidRPr="00251567">
              <w:rPr>
                <w:rFonts w:ascii="Calibri" w:eastAsia="Calibri" w:hAnsi="Calibri" w:cs="Calibri"/>
                <w:sz w:val="20"/>
                <w:szCs w:val="20"/>
              </w:rPr>
              <w:t>Kontinuirano</w:t>
            </w:r>
          </w:p>
        </w:tc>
        <w:tc>
          <w:tcPr>
            <w:tcW w:w="1843" w:type="dxa"/>
            <w:vAlign w:val="center"/>
          </w:tcPr>
          <w:p w14:paraId="2C74037C" w14:textId="77777777" w:rsidR="00DE5909" w:rsidRPr="00251567" w:rsidRDefault="00DE5909" w:rsidP="00134320">
            <w:pPr>
              <w:rPr>
                <w:rFonts w:ascii="Calibri" w:eastAsia="Calibri" w:hAnsi="Calibri" w:cs="Calibri"/>
                <w:sz w:val="20"/>
                <w:szCs w:val="20"/>
              </w:rPr>
            </w:pPr>
            <w:r w:rsidRPr="00251567">
              <w:rPr>
                <w:rFonts w:ascii="Calibri" w:eastAsia="Calibri" w:hAnsi="Calibri" w:cs="Calibri"/>
                <w:sz w:val="20"/>
                <w:szCs w:val="20"/>
              </w:rPr>
              <w:t>Pravovremeno izvršavanje obveza</w:t>
            </w:r>
          </w:p>
        </w:tc>
        <w:tc>
          <w:tcPr>
            <w:tcW w:w="1559" w:type="dxa"/>
            <w:vAlign w:val="center"/>
          </w:tcPr>
          <w:p w14:paraId="79B66570" w14:textId="77777777" w:rsidR="007218EE" w:rsidRDefault="007218EE" w:rsidP="007218EE">
            <w:pPr>
              <w:rPr>
                <w:rFonts w:ascii="Calibri" w:eastAsia="Calibri" w:hAnsi="Calibri" w:cs="Calibri"/>
                <w:sz w:val="20"/>
                <w:szCs w:val="20"/>
              </w:rPr>
            </w:pPr>
            <w:r>
              <w:rPr>
                <w:rFonts w:ascii="Calibri" w:eastAsia="Calibri" w:hAnsi="Calibri" w:cs="Calibri"/>
                <w:sz w:val="20"/>
                <w:szCs w:val="20"/>
              </w:rPr>
              <w:t>Ravnatelj,</w:t>
            </w:r>
          </w:p>
          <w:p w14:paraId="655E7F22" w14:textId="77777777" w:rsidR="007218EE" w:rsidRDefault="007218EE" w:rsidP="007218EE">
            <w:pPr>
              <w:rPr>
                <w:rFonts w:ascii="Calibri" w:eastAsia="Calibri" w:hAnsi="Calibri" w:cs="Calibri"/>
                <w:sz w:val="20"/>
                <w:szCs w:val="20"/>
              </w:rPr>
            </w:pPr>
            <w:r>
              <w:rPr>
                <w:rFonts w:ascii="Calibri" w:eastAsia="Calibri" w:hAnsi="Calibri" w:cs="Calibri"/>
                <w:sz w:val="20"/>
                <w:szCs w:val="20"/>
              </w:rPr>
              <w:t>Zamjenik ravnatelja,</w:t>
            </w:r>
          </w:p>
          <w:p w14:paraId="75402885" w14:textId="77777777" w:rsidR="007218EE" w:rsidRDefault="007218EE" w:rsidP="007218EE">
            <w:pPr>
              <w:rPr>
                <w:rFonts w:ascii="Calibri" w:eastAsia="Calibri" w:hAnsi="Calibri" w:cs="Calibri"/>
                <w:sz w:val="20"/>
                <w:szCs w:val="20"/>
              </w:rPr>
            </w:pPr>
            <w:r>
              <w:rPr>
                <w:rFonts w:ascii="Calibri" w:eastAsia="Calibri" w:hAnsi="Calibri" w:cs="Calibri"/>
                <w:sz w:val="20"/>
                <w:szCs w:val="20"/>
              </w:rPr>
              <w:t>Voditelj ekonomsko-financijskih poslova</w:t>
            </w:r>
          </w:p>
          <w:p w14:paraId="395F691B" w14:textId="77777777" w:rsidR="00DE5909" w:rsidRPr="00134320" w:rsidRDefault="00DE5909" w:rsidP="00134320">
            <w:pPr>
              <w:rPr>
                <w:rFonts w:ascii="Calibri" w:eastAsia="Calibri" w:hAnsi="Calibri" w:cs="Calibri"/>
                <w:sz w:val="20"/>
                <w:szCs w:val="20"/>
              </w:rPr>
            </w:pPr>
          </w:p>
        </w:tc>
      </w:tr>
      <w:tr w:rsidR="00DE5909" w:rsidRPr="00B545DF" w14:paraId="65E13284" w14:textId="77777777" w:rsidTr="00134320">
        <w:trPr>
          <w:trHeight w:val="1779"/>
        </w:trPr>
        <w:tc>
          <w:tcPr>
            <w:tcW w:w="2082" w:type="dxa"/>
            <w:vAlign w:val="center"/>
          </w:tcPr>
          <w:p w14:paraId="4747C1DF" w14:textId="77777777" w:rsidR="00DE5909" w:rsidRPr="00251567" w:rsidRDefault="00DE5909" w:rsidP="00134320">
            <w:pPr>
              <w:rPr>
                <w:rFonts w:ascii="Calibri" w:eastAsia="Calibri" w:hAnsi="Calibri" w:cs="Calibri"/>
                <w:sz w:val="20"/>
                <w:szCs w:val="20"/>
              </w:rPr>
            </w:pPr>
            <w:r w:rsidRPr="00251567">
              <w:rPr>
                <w:rFonts w:ascii="Calibri" w:eastAsia="Calibri" w:hAnsi="Calibri" w:cs="Calibri"/>
                <w:sz w:val="20"/>
                <w:szCs w:val="20"/>
              </w:rPr>
              <w:t>3. Kontinuirano praćenje naplate prihoda i preuzimanje obveza u skladu s njihovim ostvarenjem</w:t>
            </w:r>
          </w:p>
        </w:tc>
        <w:tc>
          <w:tcPr>
            <w:tcW w:w="2171" w:type="dxa"/>
            <w:vAlign w:val="center"/>
          </w:tcPr>
          <w:p w14:paraId="26E55FE8" w14:textId="77777777" w:rsidR="00DE5909" w:rsidRPr="00251567" w:rsidRDefault="00DE5909" w:rsidP="00134320">
            <w:pPr>
              <w:rPr>
                <w:rFonts w:ascii="Calibri" w:eastAsia="Calibri" w:hAnsi="Calibri" w:cs="Calibri"/>
                <w:sz w:val="20"/>
                <w:szCs w:val="20"/>
              </w:rPr>
            </w:pPr>
            <w:r w:rsidRPr="00251567">
              <w:rPr>
                <w:rFonts w:ascii="Calibri" w:eastAsia="Calibri" w:hAnsi="Calibri" w:cs="Calibri"/>
                <w:sz w:val="20"/>
                <w:szCs w:val="20"/>
              </w:rPr>
              <w:t>Mjera uključuje preuzimanje obveza u skladu s dinamikom ostvarenja izvora financiranja kako je definirano u Financijskom planu. Izrada kvartalnih izvještaja o realizaciji plana.</w:t>
            </w:r>
          </w:p>
        </w:tc>
        <w:tc>
          <w:tcPr>
            <w:tcW w:w="1984" w:type="dxa"/>
            <w:vAlign w:val="center"/>
          </w:tcPr>
          <w:p w14:paraId="489CFD3B" w14:textId="77777777" w:rsidR="00DE5909" w:rsidRPr="00251567" w:rsidRDefault="00DE5909" w:rsidP="00134320">
            <w:pPr>
              <w:rPr>
                <w:rFonts w:ascii="Calibri" w:eastAsia="Calibri" w:hAnsi="Calibri" w:cs="Calibri"/>
                <w:sz w:val="20"/>
                <w:szCs w:val="20"/>
              </w:rPr>
            </w:pPr>
            <w:r w:rsidRPr="00251567">
              <w:rPr>
                <w:rFonts w:ascii="Calibri" w:eastAsia="Calibri" w:hAnsi="Calibri" w:cs="Calibri"/>
                <w:sz w:val="20"/>
                <w:szCs w:val="20"/>
              </w:rPr>
              <w:t>Kvartalno</w:t>
            </w:r>
          </w:p>
        </w:tc>
        <w:tc>
          <w:tcPr>
            <w:tcW w:w="1843" w:type="dxa"/>
            <w:vAlign w:val="center"/>
          </w:tcPr>
          <w:p w14:paraId="49AB91E1" w14:textId="77777777" w:rsidR="00DE5909" w:rsidRPr="00251567" w:rsidRDefault="00251567" w:rsidP="00134320">
            <w:pPr>
              <w:rPr>
                <w:rFonts w:ascii="Calibri" w:eastAsia="Calibri" w:hAnsi="Calibri" w:cs="Calibri"/>
                <w:sz w:val="20"/>
                <w:szCs w:val="20"/>
              </w:rPr>
            </w:pPr>
            <w:r w:rsidRPr="00251567">
              <w:rPr>
                <w:rFonts w:ascii="Calibri" w:eastAsia="Calibri" w:hAnsi="Calibri" w:cs="Calibri"/>
                <w:sz w:val="20"/>
                <w:szCs w:val="20"/>
              </w:rPr>
              <w:t>Utjecaj na ročnost i strukturu obveza</w:t>
            </w:r>
          </w:p>
        </w:tc>
        <w:tc>
          <w:tcPr>
            <w:tcW w:w="1559" w:type="dxa"/>
            <w:vAlign w:val="center"/>
          </w:tcPr>
          <w:p w14:paraId="56084F96" w14:textId="77777777" w:rsidR="007218EE" w:rsidRDefault="007218EE" w:rsidP="007218EE">
            <w:pPr>
              <w:rPr>
                <w:rFonts w:ascii="Calibri" w:eastAsia="Calibri" w:hAnsi="Calibri" w:cs="Calibri"/>
                <w:sz w:val="20"/>
                <w:szCs w:val="20"/>
              </w:rPr>
            </w:pPr>
            <w:r>
              <w:rPr>
                <w:rFonts w:ascii="Calibri" w:eastAsia="Calibri" w:hAnsi="Calibri" w:cs="Calibri"/>
                <w:sz w:val="20"/>
                <w:szCs w:val="20"/>
              </w:rPr>
              <w:t>Voditelj Odjela nabave, skladišta i naplate potraživanja,</w:t>
            </w:r>
          </w:p>
          <w:p w14:paraId="17E20815" w14:textId="77777777" w:rsidR="007218EE" w:rsidRDefault="007218EE" w:rsidP="007218EE">
            <w:pPr>
              <w:rPr>
                <w:rFonts w:ascii="Calibri" w:eastAsia="Calibri" w:hAnsi="Calibri" w:cs="Calibri"/>
                <w:sz w:val="20"/>
                <w:szCs w:val="20"/>
              </w:rPr>
            </w:pPr>
            <w:r>
              <w:rPr>
                <w:rFonts w:ascii="Calibri" w:eastAsia="Calibri" w:hAnsi="Calibri" w:cs="Calibri"/>
                <w:sz w:val="20"/>
                <w:szCs w:val="20"/>
              </w:rPr>
              <w:t>Voditelj ekonomsko-financijskih poslova</w:t>
            </w:r>
          </w:p>
          <w:p w14:paraId="555CD842" w14:textId="77777777" w:rsidR="00DE5909" w:rsidRPr="00134320" w:rsidRDefault="00DE5909" w:rsidP="00134320">
            <w:pPr>
              <w:rPr>
                <w:rFonts w:ascii="Calibri" w:eastAsia="Calibri" w:hAnsi="Calibri" w:cs="Calibri"/>
                <w:sz w:val="20"/>
                <w:szCs w:val="20"/>
              </w:rPr>
            </w:pPr>
          </w:p>
        </w:tc>
      </w:tr>
      <w:tr w:rsidR="007218EE" w:rsidRPr="00B545DF" w14:paraId="5C7F420C" w14:textId="77777777" w:rsidTr="00134320">
        <w:trPr>
          <w:trHeight w:val="686"/>
        </w:trPr>
        <w:tc>
          <w:tcPr>
            <w:tcW w:w="2082" w:type="dxa"/>
            <w:vAlign w:val="center"/>
          </w:tcPr>
          <w:p w14:paraId="0B5BEA4B" w14:textId="77777777" w:rsidR="007218EE" w:rsidRPr="00251567" w:rsidRDefault="007218EE" w:rsidP="007218EE">
            <w:pPr>
              <w:rPr>
                <w:rFonts w:ascii="Calibri" w:eastAsia="Calibri" w:hAnsi="Calibri" w:cs="Calibri"/>
                <w:sz w:val="20"/>
                <w:szCs w:val="20"/>
              </w:rPr>
            </w:pPr>
            <w:r w:rsidRPr="00251567">
              <w:rPr>
                <w:rFonts w:ascii="Calibri" w:eastAsia="Calibri" w:hAnsi="Calibri" w:cs="Calibri"/>
                <w:sz w:val="20"/>
                <w:szCs w:val="20"/>
              </w:rPr>
              <w:t>4. Pravovremeno poduzimanje mjera naplate potraživanja</w:t>
            </w:r>
          </w:p>
        </w:tc>
        <w:tc>
          <w:tcPr>
            <w:tcW w:w="2171" w:type="dxa"/>
            <w:vAlign w:val="center"/>
          </w:tcPr>
          <w:p w14:paraId="6037E7C8" w14:textId="77777777" w:rsidR="007218EE" w:rsidRPr="00251567" w:rsidRDefault="007218EE" w:rsidP="007218EE">
            <w:pPr>
              <w:rPr>
                <w:rFonts w:ascii="Calibri" w:eastAsia="Calibri" w:hAnsi="Calibri" w:cs="Calibri"/>
                <w:sz w:val="20"/>
                <w:szCs w:val="20"/>
              </w:rPr>
            </w:pPr>
            <w:r w:rsidRPr="00251567">
              <w:rPr>
                <w:rFonts w:ascii="Calibri" w:eastAsia="Calibri" w:hAnsi="Calibri" w:cs="Calibri"/>
                <w:sz w:val="20"/>
                <w:szCs w:val="20"/>
              </w:rPr>
              <w:t>Postupanje prema Proceduri za naplatu prihoda.</w:t>
            </w:r>
          </w:p>
        </w:tc>
        <w:tc>
          <w:tcPr>
            <w:tcW w:w="1984" w:type="dxa"/>
            <w:vAlign w:val="center"/>
          </w:tcPr>
          <w:p w14:paraId="5BC3C7C2" w14:textId="77777777" w:rsidR="007218EE" w:rsidRPr="00251567" w:rsidRDefault="007218EE" w:rsidP="007218EE">
            <w:pPr>
              <w:rPr>
                <w:rFonts w:ascii="Calibri" w:eastAsia="Calibri" w:hAnsi="Calibri" w:cs="Calibri"/>
                <w:sz w:val="20"/>
                <w:szCs w:val="20"/>
              </w:rPr>
            </w:pPr>
            <w:r w:rsidRPr="00251567">
              <w:rPr>
                <w:rFonts w:ascii="Calibri" w:eastAsia="Calibri" w:hAnsi="Calibri" w:cs="Calibri"/>
                <w:sz w:val="20"/>
                <w:szCs w:val="20"/>
              </w:rPr>
              <w:t>Kontinuirano</w:t>
            </w:r>
          </w:p>
        </w:tc>
        <w:tc>
          <w:tcPr>
            <w:tcW w:w="1843" w:type="dxa"/>
            <w:vAlign w:val="center"/>
          </w:tcPr>
          <w:p w14:paraId="00D35118" w14:textId="77777777" w:rsidR="007218EE" w:rsidRPr="00251567" w:rsidRDefault="007218EE" w:rsidP="007218EE">
            <w:pPr>
              <w:rPr>
                <w:rFonts w:ascii="Calibri" w:eastAsia="Calibri" w:hAnsi="Calibri" w:cs="Calibri"/>
                <w:sz w:val="20"/>
                <w:szCs w:val="20"/>
              </w:rPr>
            </w:pPr>
            <w:r w:rsidRPr="00251567">
              <w:rPr>
                <w:rFonts w:ascii="Calibri" w:eastAsia="Calibri" w:hAnsi="Calibri" w:cs="Calibri"/>
                <w:sz w:val="20"/>
                <w:szCs w:val="20"/>
              </w:rPr>
              <w:t>Povećanje naplaćenih prihoda</w:t>
            </w:r>
          </w:p>
        </w:tc>
        <w:tc>
          <w:tcPr>
            <w:tcW w:w="1559" w:type="dxa"/>
            <w:vAlign w:val="center"/>
          </w:tcPr>
          <w:p w14:paraId="45DAC39C" w14:textId="77777777" w:rsidR="007218EE" w:rsidRDefault="007218EE" w:rsidP="007218EE">
            <w:pPr>
              <w:rPr>
                <w:rFonts w:ascii="Calibri" w:eastAsia="Calibri" w:hAnsi="Calibri" w:cs="Calibri"/>
                <w:sz w:val="20"/>
                <w:szCs w:val="20"/>
              </w:rPr>
            </w:pPr>
            <w:r>
              <w:rPr>
                <w:rFonts w:ascii="Calibri" w:eastAsia="Calibri" w:hAnsi="Calibri" w:cs="Calibri"/>
                <w:sz w:val="20"/>
                <w:szCs w:val="20"/>
              </w:rPr>
              <w:t>Voditelj Odjela nabave, skladišta i naplate potraživanja,</w:t>
            </w:r>
          </w:p>
          <w:p w14:paraId="748F12DC" w14:textId="77777777" w:rsidR="007218EE" w:rsidRDefault="007218EE" w:rsidP="007218EE">
            <w:pPr>
              <w:rPr>
                <w:rFonts w:ascii="Calibri" w:eastAsia="Calibri" w:hAnsi="Calibri" w:cs="Calibri"/>
                <w:sz w:val="20"/>
                <w:szCs w:val="20"/>
              </w:rPr>
            </w:pPr>
            <w:r>
              <w:rPr>
                <w:rFonts w:ascii="Calibri" w:eastAsia="Calibri" w:hAnsi="Calibri" w:cs="Calibri"/>
                <w:sz w:val="20"/>
                <w:szCs w:val="20"/>
              </w:rPr>
              <w:t>Voditelj ekonomsko-financijskih poslova</w:t>
            </w:r>
          </w:p>
          <w:p w14:paraId="2FD36966" w14:textId="77777777" w:rsidR="007218EE" w:rsidRPr="00134320" w:rsidRDefault="007218EE" w:rsidP="007218EE">
            <w:pPr>
              <w:rPr>
                <w:rFonts w:ascii="Calibri" w:eastAsia="Calibri" w:hAnsi="Calibri" w:cs="Calibri"/>
                <w:sz w:val="20"/>
                <w:szCs w:val="20"/>
              </w:rPr>
            </w:pPr>
          </w:p>
        </w:tc>
      </w:tr>
      <w:tr w:rsidR="007218EE" w:rsidRPr="00B545DF" w14:paraId="5953BDD2" w14:textId="77777777" w:rsidTr="00134320">
        <w:tc>
          <w:tcPr>
            <w:tcW w:w="2082" w:type="dxa"/>
            <w:vAlign w:val="center"/>
          </w:tcPr>
          <w:p w14:paraId="1915B7F4" w14:textId="77777777" w:rsidR="007218EE" w:rsidRPr="00251567" w:rsidRDefault="007218EE" w:rsidP="007218EE">
            <w:pPr>
              <w:rPr>
                <w:rFonts w:ascii="Calibri" w:eastAsia="Calibri" w:hAnsi="Calibri" w:cs="Calibri"/>
                <w:sz w:val="20"/>
                <w:szCs w:val="20"/>
              </w:rPr>
            </w:pPr>
            <w:r w:rsidRPr="00251567">
              <w:rPr>
                <w:rFonts w:ascii="Calibri" w:eastAsia="Calibri" w:hAnsi="Calibri" w:cs="Calibri"/>
                <w:sz w:val="20"/>
                <w:szCs w:val="20"/>
              </w:rPr>
              <w:lastRenderedPageBreak/>
              <w:t>5. Povećanje financiranja proračunskih projekata i aktivnosti iz tekućih i kapitalnih pomoći prijavom projekata na natječaje europskih i drugih fondova</w:t>
            </w:r>
          </w:p>
        </w:tc>
        <w:tc>
          <w:tcPr>
            <w:tcW w:w="2171" w:type="dxa"/>
            <w:vAlign w:val="center"/>
          </w:tcPr>
          <w:p w14:paraId="713ECD33" w14:textId="77777777" w:rsidR="007218EE" w:rsidRPr="00251567" w:rsidRDefault="007218EE" w:rsidP="007218EE">
            <w:pPr>
              <w:rPr>
                <w:rFonts w:ascii="Calibri" w:eastAsia="Calibri" w:hAnsi="Calibri" w:cs="Calibri"/>
                <w:sz w:val="20"/>
                <w:szCs w:val="20"/>
              </w:rPr>
            </w:pPr>
            <w:r w:rsidRPr="00251567">
              <w:rPr>
                <w:rFonts w:ascii="Calibri" w:eastAsia="Calibri" w:hAnsi="Calibri" w:cs="Calibri"/>
                <w:sz w:val="20"/>
                <w:szCs w:val="20"/>
              </w:rPr>
              <w:t>Mjera uključuje oslobađanje sredstava iz izvora Opći prihodi i primici  i financiranje što više aktivnosti i projekata iz drugih izvora (nacionalni i međunarodni natječaji)</w:t>
            </w:r>
          </w:p>
        </w:tc>
        <w:tc>
          <w:tcPr>
            <w:tcW w:w="1984" w:type="dxa"/>
            <w:vAlign w:val="center"/>
          </w:tcPr>
          <w:p w14:paraId="11531B43" w14:textId="77777777" w:rsidR="007218EE" w:rsidRPr="00251567" w:rsidRDefault="007218EE" w:rsidP="007218EE">
            <w:pPr>
              <w:rPr>
                <w:rFonts w:ascii="Calibri" w:eastAsia="Calibri" w:hAnsi="Calibri" w:cs="Calibri"/>
                <w:sz w:val="20"/>
                <w:szCs w:val="20"/>
              </w:rPr>
            </w:pPr>
            <w:r w:rsidRPr="00251567">
              <w:rPr>
                <w:rFonts w:ascii="Calibri" w:eastAsia="Calibri" w:hAnsi="Calibri" w:cs="Calibri"/>
                <w:sz w:val="20"/>
                <w:szCs w:val="20"/>
              </w:rPr>
              <w:t>Kontinuirano</w:t>
            </w:r>
          </w:p>
        </w:tc>
        <w:tc>
          <w:tcPr>
            <w:tcW w:w="1843" w:type="dxa"/>
            <w:vAlign w:val="center"/>
          </w:tcPr>
          <w:p w14:paraId="3C498506" w14:textId="77777777" w:rsidR="007218EE" w:rsidRPr="00251567" w:rsidRDefault="007218EE" w:rsidP="007218EE">
            <w:pPr>
              <w:rPr>
                <w:rFonts w:ascii="Calibri" w:eastAsia="Calibri" w:hAnsi="Calibri" w:cs="Calibri"/>
                <w:sz w:val="20"/>
                <w:szCs w:val="20"/>
              </w:rPr>
            </w:pPr>
            <w:r w:rsidRPr="00251567">
              <w:rPr>
                <w:rFonts w:ascii="Calibri" w:eastAsia="Calibri" w:hAnsi="Calibri" w:cs="Calibri"/>
                <w:sz w:val="20"/>
                <w:szCs w:val="20"/>
              </w:rPr>
              <w:t>Povećanje kvalitete boravka pacijenata te povećanje kvalitete uvjeta rada zaposlenika</w:t>
            </w:r>
          </w:p>
        </w:tc>
        <w:tc>
          <w:tcPr>
            <w:tcW w:w="1559" w:type="dxa"/>
            <w:vAlign w:val="center"/>
          </w:tcPr>
          <w:p w14:paraId="6B810D0C" w14:textId="77777777" w:rsidR="007218EE" w:rsidRDefault="007218EE" w:rsidP="007218EE">
            <w:pPr>
              <w:rPr>
                <w:rFonts w:ascii="Calibri" w:eastAsia="Calibri" w:hAnsi="Calibri" w:cs="Calibri"/>
                <w:sz w:val="20"/>
                <w:szCs w:val="20"/>
              </w:rPr>
            </w:pPr>
            <w:r>
              <w:rPr>
                <w:rFonts w:ascii="Calibri" w:eastAsia="Calibri" w:hAnsi="Calibri" w:cs="Calibri"/>
                <w:sz w:val="20"/>
                <w:szCs w:val="20"/>
              </w:rPr>
              <w:t>Ravnatelj,</w:t>
            </w:r>
          </w:p>
          <w:p w14:paraId="50DE6558" w14:textId="77777777" w:rsidR="007218EE" w:rsidRDefault="007218EE" w:rsidP="007218EE">
            <w:pPr>
              <w:rPr>
                <w:rFonts w:ascii="Calibri" w:eastAsia="Calibri" w:hAnsi="Calibri" w:cs="Calibri"/>
                <w:sz w:val="20"/>
                <w:szCs w:val="20"/>
              </w:rPr>
            </w:pPr>
            <w:r>
              <w:rPr>
                <w:rFonts w:ascii="Calibri" w:eastAsia="Calibri" w:hAnsi="Calibri" w:cs="Calibri"/>
                <w:sz w:val="20"/>
                <w:szCs w:val="20"/>
              </w:rPr>
              <w:t>Zamjenik ravnatelja,</w:t>
            </w:r>
          </w:p>
          <w:p w14:paraId="7EE2AEAA" w14:textId="77777777" w:rsidR="007218EE" w:rsidRPr="00134320" w:rsidRDefault="007218EE" w:rsidP="007218EE">
            <w:pPr>
              <w:rPr>
                <w:rFonts w:ascii="Calibri" w:eastAsia="Calibri" w:hAnsi="Calibri" w:cs="Calibri"/>
                <w:sz w:val="20"/>
                <w:szCs w:val="20"/>
              </w:rPr>
            </w:pPr>
            <w:r>
              <w:rPr>
                <w:rFonts w:ascii="Calibri" w:eastAsia="Calibri" w:hAnsi="Calibri" w:cs="Calibri"/>
                <w:sz w:val="20"/>
                <w:szCs w:val="20"/>
              </w:rPr>
              <w:t>Svi voditelji Odjela – svaki za svoje područje</w:t>
            </w:r>
          </w:p>
        </w:tc>
      </w:tr>
      <w:tr w:rsidR="007218EE" w:rsidRPr="00B545DF" w14:paraId="5A98948C" w14:textId="77777777" w:rsidTr="00134320">
        <w:trPr>
          <w:trHeight w:val="848"/>
        </w:trPr>
        <w:tc>
          <w:tcPr>
            <w:tcW w:w="2082" w:type="dxa"/>
            <w:vAlign w:val="center"/>
          </w:tcPr>
          <w:p w14:paraId="7CA60A1C" w14:textId="77777777" w:rsidR="007218EE" w:rsidRPr="00251567" w:rsidRDefault="007218EE" w:rsidP="007218EE">
            <w:pPr>
              <w:rPr>
                <w:rFonts w:ascii="Calibri" w:eastAsia="Calibri" w:hAnsi="Calibri" w:cs="Calibri"/>
                <w:sz w:val="20"/>
                <w:szCs w:val="20"/>
              </w:rPr>
            </w:pPr>
            <w:r w:rsidRPr="00251567">
              <w:rPr>
                <w:rFonts w:ascii="Calibri" w:eastAsia="Calibri" w:hAnsi="Calibri" w:cs="Calibri"/>
                <w:sz w:val="20"/>
                <w:szCs w:val="20"/>
              </w:rPr>
              <w:t>6. Upravljanje nekretninama  u vlasništvu Bolnice</w:t>
            </w:r>
          </w:p>
        </w:tc>
        <w:tc>
          <w:tcPr>
            <w:tcW w:w="2171" w:type="dxa"/>
            <w:vAlign w:val="center"/>
          </w:tcPr>
          <w:p w14:paraId="08DED8CC" w14:textId="77777777" w:rsidR="007218EE" w:rsidRPr="00251567" w:rsidRDefault="007218EE" w:rsidP="007218EE">
            <w:pPr>
              <w:rPr>
                <w:rFonts w:ascii="Calibri" w:eastAsia="Calibri" w:hAnsi="Calibri" w:cs="Calibri"/>
                <w:sz w:val="20"/>
                <w:szCs w:val="20"/>
              </w:rPr>
            </w:pPr>
            <w:r w:rsidRPr="00251567">
              <w:rPr>
                <w:rFonts w:ascii="Calibri" w:eastAsia="Calibri" w:hAnsi="Calibri" w:cs="Calibri"/>
                <w:sz w:val="20"/>
                <w:szCs w:val="20"/>
              </w:rPr>
              <w:t>Učinkovito raspolaganje nekretninama (zakup, najam, prodaja)</w:t>
            </w:r>
          </w:p>
        </w:tc>
        <w:tc>
          <w:tcPr>
            <w:tcW w:w="1984" w:type="dxa"/>
            <w:vAlign w:val="center"/>
          </w:tcPr>
          <w:p w14:paraId="682FD110" w14:textId="77777777" w:rsidR="007218EE" w:rsidRPr="00251567" w:rsidRDefault="007218EE" w:rsidP="007218EE">
            <w:pPr>
              <w:rPr>
                <w:rFonts w:ascii="Calibri" w:eastAsia="Calibri" w:hAnsi="Calibri" w:cs="Calibri"/>
                <w:sz w:val="20"/>
                <w:szCs w:val="20"/>
              </w:rPr>
            </w:pPr>
            <w:r w:rsidRPr="00251567">
              <w:rPr>
                <w:rFonts w:ascii="Calibri" w:eastAsia="Calibri" w:hAnsi="Calibri" w:cs="Calibri"/>
                <w:sz w:val="20"/>
                <w:szCs w:val="20"/>
              </w:rPr>
              <w:t>Kontinuirano</w:t>
            </w:r>
          </w:p>
        </w:tc>
        <w:tc>
          <w:tcPr>
            <w:tcW w:w="1843" w:type="dxa"/>
            <w:vAlign w:val="center"/>
          </w:tcPr>
          <w:p w14:paraId="0D74538B" w14:textId="77777777" w:rsidR="007218EE" w:rsidRPr="00251567" w:rsidRDefault="007218EE" w:rsidP="007218EE">
            <w:pPr>
              <w:rPr>
                <w:rFonts w:ascii="Calibri" w:eastAsia="Calibri" w:hAnsi="Calibri" w:cs="Calibri"/>
                <w:sz w:val="20"/>
                <w:szCs w:val="20"/>
              </w:rPr>
            </w:pPr>
            <w:r w:rsidRPr="00251567">
              <w:rPr>
                <w:rFonts w:ascii="Calibri" w:eastAsia="Calibri" w:hAnsi="Calibri" w:cs="Calibri"/>
                <w:sz w:val="20"/>
                <w:szCs w:val="20"/>
              </w:rPr>
              <w:t>Povećanje prihoda</w:t>
            </w:r>
          </w:p>
        </w:tc>
        <w:tc>
          <w:tcPr>
            <w:tcW w:w="1559" w:type="dxa"/>
            <w:vAlign w:val="center"/>
          </w:tcPr>
          <w:p w14:paraId="42B5B138" w14:textId="77777777" w:rsidR="007218EE" w:rsidRDefault="007218EE" w:rsidP="007218EE">
            <w:pPr>
              <w:rPr>
                <w:rFonts w:ascii="Calibri" w:eastAsia="Calibri" w:hAnsi="Calibri" w:cs="Calibri"/>
                <w:sz w:val="20"/>
                <w:szCs w:val="20"/>
              </w:rPr>
            </w:pPr>
            <w:r>
              <w:rPr>
                <w:rFonts w:ascii="Calibri" w:eastAsia="Calibri" w:hAnsi="Calibri" w:cs="Calibri"/>
                <w:sz w:val="20"/>
                <w:szCs w:val="20"/>
              </w:rPr>
              <w:t>Ravnatelj,</w:t>
            </w:r>
          </w:p>
          <w:p w14:paraId="4F5C9440" w14:textId="77777777" w:rsidR="007218EE" w:rsidRDefault="007218EE" w:rsidP="007218EE">
            <w:pPr>
              <w:rPr>
                <w:rFonts w:ascii="Calibri" w:eastAsia="Calibri" w:hAnsi="Calibri" w:cs="Calibri"/>
                <w:sz w:val="20"/>
                <w:szCs w:val="20"/>
              </w:rPr>
            </w:pPr>
            <w:r>
              <w:rPr>
                <w:rFonts w:ascii="Calibri" w:eastAsia="Calibri" w:hAnsi="Calibri" w:cs="Calibri"/>
                <w:sz w:val="20"/>
                <w:szCs w:val="20"/>
              </w:rPr>
              <w:t>Zamjenik ravnatelja,</w:t>
            </w:r>
          </w:p>
          <w:p w14:paraId="2DB02C19" w14:textId="77777777" w:rsidR="007218EE" w:rsidRPr="00134320" w:rsidRDefault="007218EE" w:rsidP="007218EE">
            <w:pPr>
              <w:rPr>
                <w:rFonts w:ascii="Calibri" w:eastAsia="Calibri" w:hAnsi="Calibri" w:cs="Calibri"/>
                <w:sz w:val="20"/>
                <w:szCs w:val="20"/>
              </w:rPr>
            </w:pPr>
            <w:r>
              <w:rPr>
                <w:rFonts w:ascii="Calibri" w:eastAsia="Calibri" w:hAnsi="Calibri" w:cs="Calibri"/>
                <w:sz w:val="20"/>
                <w:szCs w:val="20"/>
              </w:rPr>
              <w:t>Svi voditelji Odjela – svaki za svoje područje</w:t>
            </w:r>
          </w:p>
        </w:tc>
      </w:tr>
      <w:tr w:rsidR="007218EE" w:rsidRPr="00B545DF" w14:paraId="72E42D88" w14:textId="77777777" w:rsidTr="00134320">
        <w:tc>
          <w:tcPr>
            <w:tcW w:w="2082" w:type="dxa"/>
            <w:vAlign w:val="center"/>
          </w:tcPr>
          <w:p w14:paraId="2A87940E" w14:textId="77777777" w:rsidR="007218EE" w:rsidRPr="00251567" w:rsidRDefault="007218EE" w:rsidP="007218EE">
            <w:pPr>
              <w:rPr>
                <w:rFonts w:ascii="Calibri" w:eastAsia="Calibri" w:hAnsi="Calibri" w:cs="Calibri"/>
                <w:sz w:val="20"/>
                <w:szCs w:val="20"/>
              </w:rPr>
            </w:pPr>
            <w:r w:rsidRPr="00251567">
              <w:rPr>
                <w:rFonts w:ascii="Calibri" w:eastAsia="Calibri" w:hAnsi="Calibri" w:cs="Calibri"/>
                <w:sz w:val="20"/>
                <w:szCs w:val="20"/>
              </w:rPr>
              <w:t>7. Smanjenje materijalnih rashoda uz zadržavanje kvalitete rada i pružanja usluga građanima</w:t>
            </w:r>
          </w:p>
        </w:tc>
        <w:tc>
          <w:tcPr>
            <w:tcW w:w="2171" w:type="dxa"/>
            <w:vAlign w:val="center"/>
          </w:tcPr>
          <w:p w14:paraId="2E47A4B8" w14:textId="77777777" w:rsidR="007218EE" w:rsidRPr="00251567" w:rsidRDefault="007218EE" w:rsidP="007218EE">
            <w:pPr>
              <w:rPr>
                <w:rFonts w:ascii="Calibri" w:eastAsia="Calibri" w:hAnsi="Calibri" w:cs="Calibri"/>
                <w:sz w:val="20"/>
                <w:szCs w:val="20"/>
              </w:rPr>
            </w:pPr>
            <w:r w:rsidRPr="00251567">
              <w:rPr>
                <w:rFonts w:ascii="Calibri" w:eastAsia="Calibri" w:hAnsi="Calibri" w:cs="Calibri"/>
                <w:sz w:val="20"/>
                <w:szCs w:val="20"/>
              </w:rPr>
              <w:t>Maksimalna racionalizacija materijalnih rashoda</w:t>
            </w:r>
          </w:p>
        </w:tc>
        <w:tc>
          <w:tcPr>
            <w:tcW w:w="1984" w:type="dxa"/>
            <w:vAlign w:val="center"/>
          </w:tcPr>
          <w:p w14:paraId="0D86F333" w14:textId="77777777" w:rsidR="007218EE" w:rsidRPr="00251567" w:rsidRDefault="007218EE" w:rsidP="007218EE">
            <w:pPr>
              <w:rPr>
                <w:rFonts w:ascii="Calibri" w:eastAsia="Calibri" w:hAnsi="Calibri" w:cs="Calibri"/>
                <w:sz w:val="20"/>
                <w:szCs w:val="20"/>
              </w:rPr>
            </w:pPr>
            <w:r w:rsidRPr="00251567">
              <w:rPr>
                <w:rFonts w:ascii="Calibri" w:eastAsia="Calibri" w:hAnsi="Calibri" w:cs="Calibri"/>
                <w:sz w:val="20"/>
                <w:szCs w:val="20"/>
              </w:rPr>
              <w:t>Kontinuirano</w:t>
            </w:r>
          </w:p>
        </w:tc>
        <w:tc>
          <w:tcPr>
            <w:tcW w:w="1843" w:type="dxa"/>
            <w:vAlign w:val="center"/>
          </w:tcPr>
          <w:p w14:paraId="0D2CA287" w14:textId="77777777" w:rsidR="007218EE" w:rsidRPr="00251567" w:rsidRDefault="007218EE" w:rsidP="007218EE">
            <w:pPr>
              <w:rPr>
                <w:rFonts w:ascii="Calibri" w:eastAsia="Calibri" w:hAnsi="Calibri" w:cs="Calibri"/>
                <w:sz w:val="20"/>
                <w:szCs w:val="20"/>
              </w:rPr>
            </w:pPr>
            <w:r w:rsidRPr="00251567">
              <w:rPr>
                <w:rFonts w:ascii="Calibri" w:eastAsia="Calibri" w:hAnsi="Calibri" w:cs="Calibri"/>
                <w:sz w:val="20"/>
                <w:szCs w:val="20"/>
              </w:rPr>
              <w:t>Smanjenje troškova poslovanja</w:t>
            </w:r>
          </w:p>
        </w:tc>
        <w:tc>
          <w:tcPr>
            <w:tcW w:w="1559" w:type="dxa"/>
            <w:vAlign w:val="center"/>
          </w:tcPr>
          <w:p w14:paraId="0463D4F6" w14:textId="77777777" w:rsidR="007218EE" w:rsidRDefault="007218EE" w:rsidP="007218EE">
            <w:pPr>
              <w:rPr>
                <w:rFonts w:ascii="Calibri" w:eastAsia="Calibri" w:hAnsi="Calibri" w:cs="Calibri"/>
                <w:sz w:val="20"/>
                <w:szCs w:val="20"/>
              </w:rPr>
            </w:pPr>
            <w:r>
              <w:rPr>
                <w:rFonts w:ascii="Calibri" w:eastAsia="Calibri" w:hAnsi="Calibri" w:cs="Calibri"/>
                <w:sz w:val="20"/>
                <w:szCs w:val="20"/>
              </w:rPr>
              <w:t>Ravnatelj,</w:t>
            </w:r>
          </w:p>
          <w:p w14:paraId="04ED9286" w14:textId="77777777" w:rsidR="007218EE" w:rsidRDefault="007218EE" w:rsidP="007218EE">
            <w:pPr>
              <w:rPr>
                <w:rFonts w:ascii="Calibri" w:eastAsia="Calibri" w:hAnsi="Calibri" w:cs="Calibri"/>
                <w:sz w:val="20"/>
                <w:szCs w:val="20"/>
              </w:rPr>
            </w:pPr>
            <w:r>
              <w:rPr>
                <w:rFonts w:ascii="Calibri" w:eastAsia="Calibri" w:hAnsi="Calibri" w:cs="Calibri"/>
                <w:sz w:val="20"/>
                <w:szCs w:val="20"/>
              </w:rPr>
              <w:t>Zamjenik ravnatelja,</w:t>
            </w:r>
          </w:p>
          <w:p w14:paraId="291AD827" w14:textId="77777777" w:rsidR="007218EE" w:rsidRDefault="007218EE" w:rsidP="007218EE">
            <w:pPr>
              <w:rPr>
                <w:rFonts w:ascii="Calibri" w:eastAsia="Calibri" w:hAnsi="Calibri" w:cs="Calibri"/>
                <w:sz w:val="20"/>
                <w:szCs w:val="20"/>
              </w:rPr>
            </w:pPr>
            <w:r>
              <w:rPr>
                <w:rFonts w:ascii="Calibri" w:eastAsia="Calibri" w:hAnsi="Calibri" w:cs="Calibri"/>
                <w:sz w:val="20"/>
                <w:szCs w:val="20"/>
              </w:rPr>
              <w:t>Voditelj ekonomsko-financijskih poslova</w:t>
            </w:r>
          </w:p>
          <w:p w14:paraId="05E30FDC" w14:textId="77777777" w:rsidR="007218EE" w:rsidRPr="00134320" w:rsidRDefault="007218EE" w:rsidP="007218EE">
            <w:pPr>
              <w:rPr>
                <w:rFonts w:ascii="Calibri" w:eastAsia="Calibri" w:hAnsi="Calibri" w:cs="Calibri"/>
                <w:sz w:val="20"/>
                <w:szCs w:val="20"/>
              </w:rPr>
            </w:pPr>
            <w:r>
              <w:rPr>
                <w:rFonts w:ascii="Calibri" w:eastAsia="Calibri" w:hAnsi="Calibri" w:cs="Calibri"/>
                <w:sz w:val="20"/>
                <w:szCs w:val="20"/>
              </w:rPr>
              <w:t>Svi voditelji Odjela – svaki za svoje područje</w:t>
            </w:r>
          </w:p>
        </w:tc>
      </w:tr>
    </w:tbl>
    <w:p w14:paraId="36B3A69B" w14:textId="77777777" w:rsidR="00683380" w:rsidRPr="00B545DF" w:rsidRDefault="00683380" w:rsidP="00F16607">
      <w:pPr>
        <w:spacing w:line="240" w:lineRule="auto"/>
      </w:pPr>
    </w:p>
    <w:p w14:paraId="250B46E0" w14:textId="77777777" w:rsidR="00526C7E" w:rsidRDefault="00584B10" w:rsidP="00454F73">
      <w:pPr>
        <w:spacing w:line="240" w:lineRule="auto"/>
        <w:ind w:right="-567" w:firstLine="708"/>
        <w:jc w:val="both"/>
        <w:rPr>
          <w:b/>
          <w:i/>
        </w:rPr>
      </w:pPr>
      <w:r w:rsidRPr="00454F73">
        <w:rPr>
          <w:b/>
          <w:i/>
        </w:rPr>
        <w:t>U</w:t>
      </w:r>
      <w:r w:rsidR="00FF6EDC" w:rsidRPr="00454F73">
        <w:rPr>
          <w:b/>
          <w:i/>
        </w:rPr>
        <w:t xml:space="preserve"> </w:t>
      </w:r>
      <w:r w:rsidRPr="00454F73">
        <w:rPr>
          <w:b/>
          <w:i/>
        </w:rPr>
        <w:t xml:space="preserve"> svrhu uravnoteženja Financijskog plana nakon uključivanja dijela projiciranog manjka, kao i nastavka pružanja usluga </w:t>
      </w:r>
      <w:r w:rsidR="002B5B53" w:rsidRPr="00454F73">
        <w:rPr>
          <w:b/>
          <w:i/>
        </w:rPr>
        <w:t xml:space="preserve">u planiranim veličinama bez utjecaja korona krize </w:t>
      </w:r>
      <w:r w:rsidR="00FF6EDC" w:rsidRPr="00454F73">
        <w:rPr>
          <w:b/>
          <w:i/>
        </w:rPr>
        <w:t xml:space="preserve">u razdoblju od </w:t>
      </w:r>
      <w:r w:rsidR="00653394" w:rsidRPr="00454F73">
        <w:rPr>
          <w:b/>
          <w:i/>
        </w:rPr>
        <w:t>01</w:t>
      </w:r>
      <w:r w:rsidR="00FF6EDC" w:rsidRPr="00454F73">
        <w:rPr>
          <w:b/>
          <w:i/>
        </w:rPr>
        <w:t>. srpnja do 31. prosinca 202</w:t>
      </w:r>
      <w:r w:rsidR="00454F73" w:rsidRPr="00454F73">
        <w:rPr>
          <w:b/>
          <w:i/>
        </w:rPr>
        <w:t>4</w:t>
      </w:r>
      <w:r w:rsidR="00FF6EDC" w:rsidRPr="00454F73">
        <w:rPr>
          <w:b/>
          <w:i/>
        </w:rPr>
        <w:t xml:space="preserve">. godine </w:t>
      </w:r>
      <w:r w:rsidRPr="00454F73">
        <w:rPr>
          <w:b/>
          <w:i/>
        </w:rPr>
        <w:t xml:space="preserve">nastaviti će se s poduzimanjem svih mjera za pravodobno prikupljanje </w:t>
      </w:r>
      <w:r w:rsidR="00796A66" w:rsidRPr="00454F73">
        <w:rPr>
          <w:b/>
          <w:i/>
        </w:rPr>
        <w:t>i ostvarenje priho</w:t>
      </w:r>
      <w:r w:rsidRPr="00454F73">
        <w:rPr>
          <w:b/>
          <w:i/>
        </w:rPr>
        <w:t xml:space="preserve">da, uz maksimalno poštivanje načela ekonomičnosti i učinkovitosti prilikom trošenja </w:t>
      </w:r>
      <w:r w:rsidR="0025698E" w:rsidRPr="00454F73">
        <w:rPr>
          <w:b/>
          <w:i/>
        </w:rPr>
        <w:t xml:space="preserve">proračunskih </w:t>
      </w:r>
      <w:r w:rsidRPr="00454F73">
        <w:rPr>
          <w:b/>
          <w:i/>
        </w:rPr>
        <w:t>sredstava, a kako bi ostvareni prihodi bili dostatni za pokriće dijela prenesenog manjka te rashoda i izdataka u skladu s definiranom dinamikom.</w:t>
      </w:r>
    </w:p>
    <w:p w14:paraId="3CAACC8D" w14:textId="77777777" w:rsidR="00454F73" w:rsidRPr="00454F73" w:rsidRDefault="00454F73" w:rsidP="00454F73">
      <w:pPr>
        <w:spacing w:line="240" w:lineRule="auto"/>
        <w:ind w:right="-567" w:firstLine="708"/>
        <w:jc w:val="both"/>
        <w:rPr>
          <w:b/>
          <w:i/>
        </w:rPr>
      </w:pPr>
      <w:r>
        <w:rPr>
          <w:b/>
          <w:i/>
        </w:rPr>
        <w:t>Sve navedeno ukazuje na činjenicu da je Specijalna bolnica za medicinsku rehabilitaciju Varaždinske Toplice kontinuirano provodi racionalizaciju poslovanja o čemu je preko Upravnog vijeća upoznat i osnivač. Bez pomoći osnivača, državnog proračuna i/ili HZZO-a, Specijalna bolnica za medicinsku rehabilitaciju Varaždinske Toplice nije u mogućnosti sama nadoknaditi iznos prenesenih manjkova iz prethodnih godina</w:t>
      </w:r>
    </w:p>
    <w:p w14:paraId="7F761A81" w14:textId="77777777" w:rsidR="00C41D0E" w:rsidRDefault="00C41D0E" w:rsidP="00C41D0E">
      <w:pPr>
        <w:spacing w:line="240" w:lineRule="auto"/>
        <w:ind w:firstLine="708"/>
        <w:jc w:val="both"/>
      </w:pPr>
    </w:p>
    <w:p w14:paraId="70E3CC88" w14:textId="77777777" w:rsidR="000B51FB" w:rsidRPr="006C1C31" w:rsidRDefault="00E95E2E" w:rsidP="00F16607">
      <w:pPr>
        <w:spacing w:line="240" w:lineRule="auto"/>
        <w:ind w:firstLine="708"/>
        <w:jc w:val="both"/>
        <w:rPr>
          <w:b/>
        </w:rPr>
      </w:pPr>
      <w:r>
        <w:tab/>
      </w:r>
      <w:r>
        <w:tab/>
      </w:r>
      <w:r>
        <w:tab/>
      </w:r>
      <w:r>
        <w:tab/>
      </w:r>
      <w:r>
        <w:tab/>
      </w:r>
      <w:r w:rsidRPr="006C1C31">
        <w:rPr>
          <w:b/>
        </w:rPr>
        <w:t xml:space="preserve">Članak 2. </w:t>
      </w:r>
    </w:p>
    <w:p w14:paraId="6E2A7F68" w14:textId="77777777" w:rsidR="00BB00A6" w:rsidRDefault="000B51FB" w:rsidP="00EB0D9F">
      <w:pPr>
        <w:spacing w:line="240" w:lineRule="auto"/>
        <w:ind w:firstLine="708"/>
        <w:jc w:val="both"/>
      </w:pPr>
      <w:r>
        <w:t>Ova Odluka stup</w:t>
      </w:r>
      <w:r w:rsidR="0025698E">
        <w:t>a na snagu danom donošenja.</w:t>
      </w:r>
    </w:p>
    <w:p w14:paraId="6F669850" w14:textId="77777777" w:rsidR="006C1C31" w:rsidRPr="0025698E" w:rsidRDefault="006C1C31" w:rsidP="00EB0D9F">
      <w:pPr>
        <w:spacing w:line="240" w:lineRule="auto"/>
        <w:ind w:firstLine="708"/>
        <w:jc w:val="both"/>
      </w:pPr>
    </w:p>
    <w:p w14:paraId="4DEE25AE" w14:textId="77777777" w:rsidR="00683380" w:rsidRPr="0000253D" w:rsidRDefault="003578FA" w:rsidP="00926E4B">
      <w:pPr>
        <w:pStyle w:val="Bezproreda"/>
        <w:rPr>
          <w:b/>
        </w:rPr>
      </w:pPr>
      <w:r w:rsidRPr="00B545DF">
        <w:t xml:space="preserve">                                                                                     </w:t>
      </w:r>
      <w:r w:rsidR="00796A66" w:rsidRPr="00B545DF">
        <w:t xml:space="preserve">                      </w:t>
      </w:r>
      <w:r w:rsidRPr="00B545DF">
        <w:t xml:space="preserve">  </w:t>
      </w:r>
      <w:r w:rsidR="0025698E">
        <w:tab/>
      </w:r>
      <w:r w:rsidRPr="0000253D">
        <w:rPr>
          <w:b/>
        </w:rPr>
        <w:t>Predsjednik Upravnog vijeća:</w:t>
      </w:r>
    </w:p>
    <w:p w14:paraId="44285E5A" w14:textId="77777777" w:rsidR="003578FA" w:rsidRPr="00926E4B" w:rsidRDefault="003578FA" w:rsidP="00926E4B">
      <w:pPr>
        <w:pStyle w:val="Bezproreda"/>
        <w:rPr>
          <w:i/>
        </w:rPr>
      </w:pPr>
      <w:r w:rsidRPr="00B545DF">
        <w:t xml:space="preserve">                                                                                          </w:t>
      </w:r>
      <w:r w:rsidR="00796A66" w:rsidRPr="00B545DF">
        <w:t xml:space="preserve">                    </w:t>
      </w:r>
      <w:r w:rsidRPr="00B545DF">
        <w:t xml:space="preserve"> </w:t>
      </w:r>
      <w:r w:rsidR="0025698E">
        <w:tab/>
      </w:r>
      <w:r w:rsidR="0005490A">
        <w:rPr>
          <w:i/>
        </w:rPr>
        <w:t>m</w:t>
      </w:r>
      <w:r w:rsidR="00653394">
        <w:rPr>
          <w:i/>
        </w:rPr>
        <w:t xml:space="preserve">r. sc. Alen </w:t>
      </w:r>
      <w:proofErr w:type="spellStart"/>
      <w:r w:rsidR="00653394">
        <w:rPr>
          <w:i/>
        </w:rPr>
        <w:t>Runac</w:t>
      </w:r>
      <w:proofErr w:type="spellEnd"/>
      <w:r w:rsidR="00653394">
        <w:rPr>
          <w:i/>
        </w:rPr>
        <w:t>, v.r.</w:t>
      </w:r>
    </w:p>
    <w:p w14:paraId="5BB869E0" w14:textId="77777777" w:rsidR="00C41D0E" w:rsidRDefault="00C41D0E" w:rsidP="00F16607">
      <w:pPr>
        <w:spacing w:line="240" w:lineRule="auto"/>
        <w:rPr>
          <w:i/>
          <w:sz w:val="20"/>
          <w:szCs w:val="20"/>
        </w:rPr>
      </w:pPr>
    </w:p>
    <w:p w14:paraId="4CC2A5A5" w14:textId="77777777" w:rsidR="00926E4B" w:rsidRPr="0025698E" w:rsidRDefault="00926E4B" w:rsidP="00F16607">
      <w:pPr>
        <w:spacing w:line="240" w:lineRule="auto"/>
        <w:rPr>
          <w:i/>
          <w:sz w:val="20"/>
          <w:szCs w:val="20"/>
        </w:rPr>
      </w:pPr>
      <w:r w:rsidRPr="0025698E">
        <w:rPr>
          <w:i/>
          <w:sz w:val="20"/>
          <w:szCs w:val="20"/>
        </w:rPr>
        <w:t>Dostaviti:</w:t>
      </w:r>
    </w:p>
    <w:p w14:paraId="62597AAA" w14:textId="77777777" w:rsidR="00926E4B" w:rsidRPr="0025698E" w:rsidRDefault="00926E4B" w:rsidP="00926E4B">
      <w:pPr>
        <w:pStyle w:val="Odlomakpopisa"/>
        <w:numPr>
          <w:ilvl w:val="0"/>
          <w:numId w:val="5"/>
        </w:numPr>
        <w:spacing w:line="240" w:lineRule="auto"/>
        <w:rPr>
          <w:i/>
          <w:sz w:val="20"/>
          <w:szCs w:val="20"/>
        </w:rPr>
      </w:pPr>
      <w:r w:rsidRPr="0025698E">
        <w:rPr>
          <w:i/>
          <w:sz w:val="20"/>
          <w:szCs w:val="20"/>
        </w:rPr>
        <w:t>Ravnatelju</w:t>
      </w:r>
    </w:p>
    <w:p w14:paraId="1DC3AFCA" w14:textId="77777777" w:rsidR="00926E4B" w:rsidRPr="0025698E" w:rsidRDefault="00926E4B" w:rsidP="00926E4B">
      <w:pPr>
        <w:pStyle w:val="Odlomakpopisa"/>
        <w:numPr>
          <w:ilvl w:val="0"/>
          <w:numId w:val="5"/>
        </w:numPr>
        <w:spacing w:line="240" w:lineRule="auto"/>
        <w:rPr>
          <w:i/>
          <w:sz w:val="20"/>
          <w:szCs w:val="20"/>
        </w:rPr>
      </w:pPr>
      <w:r w:rsidRPr="0025698E">
        <w:rPr>
          <w:i/>
          <w:sz w:val="20"/>
          <w:szCs w:val="20"/>
        </w:rPr>
        <w:t>Varaždinskoj županiji</w:t>
      </w:r>
    </w:p>
    <w:p w14:paraId="773B9EAA" w14:textId="77777777" w:rsidR="00926E4B" w:rsidRPr="0025698E" w:rsidRDefault="00926E4B" w:rsidP="00926E4B">
      <w:pPr>
        <w:pStyle w:val="Odlomakpopisa"/>
        <w:numPr>
          <w:ilvl w:val="0"/>
          <w:numId w:val="5"/>
        </w:numPr>
        <w:spacing w:line="240" w:lineRule="auto"/>
        <w:rPr>
          <w:i/>
          <w:sz w:val="20"/>
          <w:szCs w:val="20"/>
        </w:rPr>
      </w:pPr>
      <w:r w:rsidRPr="0025698E">
        <w:rPr>
          <w:i/>
          <w:sz w:val="20"/>
          <w:szCs w:val="20"/>
        </w:rPr>
        <w:t>Odjelu ekonomsko-financijskih poslova</w:t>
      </w:r>
    </w:p>
    <w:p w14:paraId="4542C822" w14:textId="77777777" w:rsidR="00926E4B" w:rsidRPr="0025698E" w:rsidRDefault="00926E4B" w:rsidP="00926E4B">
      <w:pPr>
        <w:pStyle w:val="Odlomakpopisa"/>
        <w:numPr>
          <w:ilvl w:val="0"/>
          <w:numId w:val="5"/>
        </w:numPr>
        <w:spacing w:line="240" w:lineRule="auto"/>
        <w:rPr>
          <w:i/>
          <w:sz w:val="20"/>
          <w:szCs w:val="20"/>
        </w:rPr>
      </w:pPr>
      <w:r w:rsidRPr="0025698E">
        <w:rPr>
          <w:i/>
          <w:sz w:val="20"/>
          <w:szCs w:val="20"/>
        </w:rPr>
        <w:t xml:space="preserve">Odjelu općih, pravnih i </w:t>
      </w:r>
      <w:r w:rsidR="0000253D" w:rsidRPr="0025698E">
        <w:rPr>
          <w:i/>
          <w:sz w:val="20"/>
          <w:szCs w:val="20"/>
        </w:rPr>
        <w:t>kadrovskih</w:t>
      </w:r>
      <w:r w:rsidRPr="0025698E">
        <w:rPr>
          <w:i/>
          <w:sz w:val="20"/>
          <w:szCs w:val="20"/>
        </w:rPr>
        <w:t xml:space="preserve"> poslova</w:t>
      </w:r>
    </w:p>
    <w:p w14:paraId="2E049B3E" w14:textId="77777777" w:rsidR="00926E4B" w:rsidRPr="0025698E" w:rsidRDefault="00926E4B" w:rsidP="00926E4B">
      <w:pPr>
        <w:pStyle w:val="Odlomakpopisa"/>
        <w:numPr>
          <w:ilvl w:val="0"/>
          <w:numId w:val="5"/>
        </w:numPr>
        <w:spacing w:line="240" w:lineRule="auto"/>
        <w:rPr>
          <w:i/>
          <w:sz w:val="20"/>
          <w:szCs w:val="20"/>
        </w:rPr>
      </w:pPr>
      <w:r w:rsidRPr="0025698E">
        <w:rPr>
          <w:i/>
          <w:sz w:val="20"/>
          <w:szCs w:val="20"/>
        </w:rPr>
        <w:lastRenderedPageBreak/>
        <w:t xml:space="preserve">Uz </w:t>
      </w:r>
      <w:proofErr w:type="spellStart"/>
      <w:r w:rsidRPr="0025698E">
        <w:rPr>
          <w:i/>
          <w:sz w:val="20"/>
          <w:szCs w:val="20"/>
        </w:rPr>
        <w:t>sjednički</w:t>
      </w:r>
      <w:proofErr w:type="spellEnd"/>
      <w:r w:rsidRPr="0025698E">
        <w:rPr>
          <w:i/>
          <w:sz w:val="20"/>
          <w:szCs w:val="20"/>
        </w:rPr>
        <w:t xml:space="preserve"> zapisnik</w:t>
      </w:r>
    </w:p>
    <w:p w14:paraId="01C459AB" w14:textId="77777777" w:rsidR="00926E4B" w:rsidRPr="0025698E" w:rsidRDefault="00926E4B" w:rsidP="00926E4B">
      <w:pPr>
        <w:pStyle w:val="Odlomakpopisa"/>
        <w:numPr>
          <w:ilvl w:val="0"/>
          <w:numId w:val="5"/>
        </w:numPr>
        <w:spacing w:line="240" w:lineRule="auto"/>
        <w:rPr>
          <w:i/>
          <w:sz w:val="20"/>
          <w:szCs w:val="20"/>
        </w:rPr>
      </w:pPr>
      <w:r w:rsidRPr="0025698E">
        <w:rPr>
          <w:i/>
          <w:sz w:val="20"/>
          <w:szCs w:val="20"/>
        </w:rPr>
        <w:t>Pismohrani</w:t>
      </w:r>
    </w:p>
    <w:sectPr w:rsidR="00926E4B" w:rsidRPr="002569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64F3"/>
    <w:multiLevelType w:val="hybridMultilevel"/>
    <w:tmpl w:val="0BEA612C"/>
    <w:lvl w:ilvl="0" w:tplc="C28021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D7275C"/>
    <w:multiLevelType w:val="hybridMultilevel"/>
    <w:tmpl w:val="D27A52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F83236"/>
    <w:multiLevelType w:val="hybridMultilevel"/>
    <w:tmpl w:val="DAC43A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5A59E5"/>
    <w:multiLevelType w:val="hybridMultilevel"/>
    <w:tmpl w:val="21DEBE52"/>
    <w:lvl w:ilvl="0" w:tplc="6152F9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F832B31"/>
    <w:multiLevelType w:val="hybridMultilevel"/>
    <w:tmpl w:val="D7325C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8B27E4D"/>
    <w:multiLevelType w:val="hybridMultilevel"/>
    <w:tmpl w:val="425AD1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4639194">
    <w:abstractNumId w:val="0"/>
  </w:num>
  <w:num w:numId="2" w16cid:durableId="1886133485">
    <w:abstractNumId w:val="4"/>
  </w:num>
  <w:num w:numId="3" w16cid:durableId="1399206840">
    <w:abstractNumId w:val="2"/>
  </w:num>
  <w:num w:numId="4" w16cid:durableId="1666712373">
    <w:abstractNumId w:val="5"/>
  </w:num>
  <w:num w:numId="5" w16cid:durableId="167402344">
    <w:abstractNumId w:val="1"/>
  </w:num>
  <w:num w:numId="6" w16cid:durableId="1479417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E7"/>
    <w:rsid w:val="0000112D"/>
    <w:rsid w:val="0000253D"/>
    <w:rsid w:val="00015AAB"/>
    <w:rsid w:val="00026450"/>
    <w:rsid w:val="0005490A"/>
    <w:rsid w:val="00083A43"/>
    <w:rsid w:val="000864F7"/>
    <w:rsid w:val="000B51FB"/>
    <w:rsid w:val="000B567F"/>
    <w:rsid w:val="000E146C"/>
    <w:rsid w:val="00106BBD"/>
    <w:rsid w:val="00134320"/>
    <w:rsid w:val="001412C2"/>
    <w:rsid w:val="0017442C"/>
    <w:rsid w:val="0017770C"/>
    <w:rsid w:val="001A5C8B"/>
    <w:rsid w:val="001F2693"/>
    <w:rsid w:val="001F734A"/>
    <w:rsid w:val="002077D7"/>
    <w:rsid w:val="00232B59"/>
    <w:rsid w:val="002461A6"/>
    <w:rsid w:val="00251567"/>
    <w:rsid w:val="0025698E"/>
    <w:rsid w:val="00266D01"/>
    <w:rsid w:val="002920AB"/>
    <w:rsid w:val="002924C3"/>
    <w:rsid w:val="002B5B53"/>
    <w:rsid w:val="002C3E54"/>
    <w:rsid w:val="002C6304"/>
    <w:rsid w:val="002D7FF4"/>
    <w:rsid w:val="00300AEF"/>
    <w:rsid w:val="0031769E"/>
    <w:rsid w:val="003223FF"/>
    <w:rsid w:val="00334D11"/>
    <w:rsid w:val="003578FA"/>
    <w:rsid w:val="0036295B"/>
    <w:rsid w:val="00362D8F"/>
    <w:rsid w:val="003824B6"/>
    <w:rsid w:val="003D5A41"/>
    <w:rsid w:val="00454F73"/>
    <w:rsid w:val="00481FBE"/>
    <w:rsid w:val="004F2DFA"/>
    <w:rsid w:val="005166B5"/>
    <w:rsid w:val="005224BC"/>
    <w:rsid w:val="00526C7E"/>
    <w:rsid w:val="00553531"/>
    <w:rsid w:val="00584B10"/>
    <w:rsid w:val="005A4159"/>
    <w:rsid w:val="00625E3A"/>
    <w:rsid w:val="00653394"/>
    <w:rsid w:val="00660E9C"/>
    <w:rsid w:val="00675EDC"/>
    <w:rsid w:val="00681083"/>
    <w:rsid w:val="00681D9E"/>
    <w:rsid w:val="00683380"/>
    <w:rsid w:val="006C1C31"/>
    <w:rsid w:val="006E7F7A"/>
    <w:rsid w:val="007218EE"/>
    <w:rsid w:val="00750EAB"/>
    <w:rsid w:val="00787470"/>
    <w:rsid w:val="00796A66"/>
    <w:rsid w:val="007A1370"/>
    <w:rsid w:val="007B0467"/>
    <w:rsid w:val="007C1607"/>
    <w:rsid w:val="007E5E09"/>
    <w:rsid w:val="00820BCB"/>
    <w:rsid w:val="00831C0F"/>
    <w:rsid w:val="008B131A"/>
    <w:rsid w:val="008E0491"/>
    <w:rsid w:val="00926E4B"/>
    <w:rsid w:val="009478D5"/>
    <w:rsid w:val="00961A74"/>
    <w:rsid w:val="00983A5D"/>
    <w:rsid w:val="009962C8"/>
    <w:rsid w:val="009B144D"/>
    <w:rsid w:val="009B7746"/>
    <w:rsid w:val="009F3F9C"/>
    <w:rsid w:val="00A0450E"/>
    <w:rsid w:val="00A86D44"/>
    <w:rsid w:val="00AC56CE"/>
    <w:rsid w:val="00B35FDA"/>
    <w:rsid w:val="00B45FB9"/>
    <w:rsid w:val="00B545DF"/>
    <w:rsid w:val="00B64608"/>
    <w:rsid w:val="00B666BB"/>
    <w:rsid w:val="00BB00A6"/>
    <w:rsid w:val="00BB3EA0"/>
    <w:rsid w:val="00C10951"/>
    <w:rsid w:val="00C1635E"/>
    <w:rsid w:val="00C41AB0"/>
    <w:rsid w:val="00C41D0E"/>
    <w:rsid w:val="00C52B43"/>
    <w:rsid w:val="00C576C0"/>
    <w:rsid w:val="00CC2A68"/>
    <w:rsid w:val="00CD27E7"/>
    <w:rsid w:val="00CE3B9F"/>
    <w:rsid w:val="00D03FA3"/>
    <w:rsid w:val="00D07F89"/>
    <w:rsid w:val="00D2487F"/>
    <w:rsid w:val="00D601A7"/>
    <w:rsid w:val="00D73CBB"/>
    <w:rsid w:val="00D82C0D"/>
    <w:rsid w:val="00DA12E8"/>
    <w:rsid w:val="00DE5909"/>
    <w:rsid w:val="00E70124"/>
    <w:rsid w:val="00E74198"/>
    <w:rsid w:val="00E936C2"/>
    <w:rsid w:val="00E95E2E"/>
    <w:rsid w:val="00E961E1"/>
    <w:rsid w:val="00EB0D9F"/>
    <w:rsid w:val="00EB6F5D"/>
    <w:rsid w:val="00EC355A"/>
    <w:rsid w:val="00EF1270"/>
    <w:rsid w:val="00F16607"/>
    <w:rsid w:val="00F652CE"/>
    <w:rsid w:val="00F869CD"/>
    <w:rsid w:val="00FE4027"/>
    <w:rsid w:val="00FF6E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C5DE"/>
  <w15:chartTrackingRefBased/>
  <w15:docId w15:val="{6D807F9D-B078-4401-B15B-934D362E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961A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61A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26450"/>
    <w:pPr>
      <w:ind w:left="720"/>
      <w:contextualSpacing/>
    </w:pPr>
  </w:style>
  <w:style w:type="table" w:styleId="Reetkatablice">
    <w:name w:val="Table Grid"/>
    <w:basedOn w:val="Obinatablica"/>
    <w:uiPriority w:val="59"/>
    <w:rsid w:val="0002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961A74"/>
    <w:rPr>
      <w:rFonts w:asciiTheme="majorHAnsi" w:eastAsiaTheme="majorEastAsia" w:hAnsiTheme="majorHAnsi" w:cstheme="majorBidi"/>
      <w:color w:val="2E74B5" w:themeColor="accent1" w:themeShade="BF"/>
      <w:sz w:val="26"/>
      <w:szCs w:val="26"/>
    </w:rPr>
  </w:style>
  <w:style w:type="character" w:customStyle="1" w:styleId="Naslov1Char">
    <w:name w:val="Naslov 1 Char"/>
    <w:basedOn w:val="Zadanifontodlomka"/>
    <w:link w:val="Naslov1"/>
    <w:uiPriority w:val="9"/>
    <w:rsid w:val="00961A74"/>
    <w:rPr>
      <w:rFonts w:asciiTheme="majorHAnsi" w:eastAsiaTheme="majorEastAsia" w:hAnsiTheme="majorHAnsi" w:cstheme="majorBidi"/>
      <w:color w:val="2E74B5" w:themeColor="accent1" w:themeShade="BF"/>
      <w:sz w:val="32"/>
      <w:szCs w:val="32"/>
    </w:rPr>
  </w:style>
  <w:style w:type="paragraph" w:styleId="Tekstbalonia">
    <w:name w:val="Balloon Text"/>
    <w:basedOn w:val="Normal"/>
    <w:link w:val="TekstbaloniaChar"/>
    <w:uiPriority w:val="99"/>
    <w:semiHidden/>
    <w:unhideWhenUsed/>
    <w:rsid w:val="003578F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578FA"/>
    <w:rPr>
      <w:rFonts w:ascii="Segoe UI" w:hAnsi="Segoe UI" w:cs="Segoe UI"/>
      <w:sz w:val="18"/>
      <w:szCs w:val="18"/>
    </w:rPr>
  </w:style>
  <w:style w:type="paragraph" w:styleId="Bezproreda">
    <w:name w:val="No Spacing"/>
    <w:uiPriority w:val="1"/>
    <w:qFormat/>
    <w:rsid w:val="000E14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8134">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641184501">
      <w:bodyDiv w:val="1"/>
      <w:marLeft w:val="0"/>
      <w:marRight w:val="0"/>
      <w:marTop w:val="0"/>
      <w:marBottom w:val="0"/>
      <w:divBdr>
        <w:top w:val="none" w:sz="0" w:space="0" w:color="auto"/>
        <w:left w:val="none" w:sz="0" w:space="0" w:color="auto"/>
        <w:bottom w:val="none" w:sz="0" w:space="0" w:color="auto"/>
        <w:right w:val="none" w:sz="0" w:space="0" w:color="auto"/>
      </w:divBdr>
    </w:div>
    <w:div w:id="1676957237">
      <w:bodyDiv w:val="1"/>
      <w:marLeft w:val="0"/>
      <w:marRight w:val="0"/>
      <w:marTop w:val="0"/>
      <w:marBottom w:val="0"/>
      <w:divBdr>
        <w:top w:val="none" w:sz="0" w:space="0" w:color="auto"/>
        <w:left w:val="none" w:sz="0" w:space="0" w:color="auto"/>
        <w:bottom w:val="none" w:sz="0" w:space="0" w:color="auto"/>
        <w:right w:val="none" w:sz="0" w:space="0" w:color="auto"/>
      </w:divBdr>
    </w:div>
    <w:div w:id="1907102979">
      <w:bodyDiv w:val="1"/>
      <w:marLeft w:val="0"/>
      <w:marRight w:val="0"/>
      <w:marTop w:val="0"/>
      <w:marBottom w:val="0"/>
      <w:divBdr>
        <w:top w:val="none" w:sz="0" w:space="0" w:color="auto"/>
        <w:left w:val="none" w:sz="0" w:space="0" w:color="auto"/>
        <w:bottom w:val="none" w:sz="0" w:space="0" w:color="auto"/>
        <w:right w:val="none" w:sz="0" w:space="0" w:color="auto"/>
      </w:divBdr>
    </w:div>
    <w:div w:id="1984308714">
      <w:bodyDiv w:val="1"/>
      <w:marLeft w:val="0"/>
      <w:marRight w:val="0"/>
      <w:marTop w:val="0"/>
      <w:marBottom w:val="0"/>
      <w:divBdr>
        <w:top w:val="none" w:sz="0" w:space="0" w:color="auto"/>
        <w:left w:val="none" w:sz="0" w:space="0" w:color="auto"/>
        <w:bottom w:val="none" w:sz="0" w:space="0" w:color="auto"/>
        <w:right w:val="none" w:sz="0" w:space="0" w:color="auto"/>
      </w:divBdr>
    </w:div>
    <w:div w:id="2044209682">
      <w:bodyDiv w:val="1"/>
      <w:marLeft w:val="0"/>
      <w:marRight w:val="0"/>
      <w:marTop w:val="0"/>
      <w:marBottom w:val="0"/>
      <w:divBdr>
        <w:top w:val="none" w:sz="0" w:space="0" w:color="auto"/>
        <w:left w:val="none" w:sz="0" w:space="0" w:color="auto"/>
        <w:bottom w:val="none" w:sz="0" w:space="0" w:color="auto"/>
        <w:right w:val="none" w:sz="0" w:space="0" w:color="auto"/>
      </w:divBdr>
    </w:div>
    <w:div w:id="205026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5027E-F43A-4A21-81FC-4A420B58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2547</Words>
  <Characters>14518</Characters>
  <Application>Microsoft Office Word</Application>
  <DocSecurity>0</DocSecurity>
  <Lines>120</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Spomenka Sakač</dc:creator>
  <cp:keywords/>
  <dc:description/>
  <cp:lastModifiedBy>Bojan Grković</cp:lastModifiedBy>
  <cp:revision>2</cp:revision>
  <cp:lastPrinted>2022-06-28T06:00:00Z</cp:lastPrinted>
  <dcterms:created xsi:type="dcterms:W3CDTF">2023-11-30T13:14:00Z</dcterms:created>
  <dcterms:modified xsi:type="dcterms:W3CDTF">2023-11-30T13:14:00Z</dcterms:modified>
</cp:coreProperties>
</file>