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1"/>
        <w:tblW w:w="10031" w:type="dxa"/>
        <w:tblLook w:val="04A0" w:firstRow="1" w:lastRow="0" w:firstColumn="1" w:lastColumn="0" w:noHBand="0" w:noVBand="1"/>
      </w:tblPr>
      <w:tblGrid>
        <w:gridCol w:w="3227"/>
        <w:gridCol w:w="6804"/>
      </w:tblGrid>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NAZIV OBVEZNIKA:</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SPECIJALNA BOLNICA ZA MEDIDINSKU REHABILITACIJU VARAŽDINSKE TOPLICE</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BROJ RKP-A:</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40746</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SJEDIŠTE OBVEZNIKA:</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VARAŽDINSKE TOPLICE</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MATIČNI BROJ:</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003325334</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ADRESA SJEDIŠTA OBVEZNIKA:</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TRG SV.MARTINA 1</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OIB:</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68425903637</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RAZINA:</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31</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RAZDJEL:</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000</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ŠIFRA DJELATNOSTI PREMA NKD-U 2007:</w:t>
            </w:r>
          </w:p>
        </w:tc>
        <w:tc>
          <w:tcPr>
            <w:tcW w:w="6804" w:type="dxa"/>
            <w:vAlign w:val="center"/>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8610-DJELATNOST BOLNICA</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ŠIFRA ŽUPANIJE</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5</w:t>
            </w:r>
          </w:p>
        </w:tc>
      </w:tr>
      <w:tr w:rsidR="00B7649B" w:rsidRPr="00B7649B" w:rsidTr="00B7649B">
        <w:tc>
          <w:tcPr>
            <w:tcW w:w="3227"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ŠIFRA GRADA/OPĆINE</w:t>
            </w:r>
          </w:p>
        </w:tc>
        <w:tc>
          <w:tcPr>
            <w:tcW w:w="6804" w:type="dxa"/>
          </w:tcPr>
          <w:p w:rsidR="00B7649B" w:rsidRPr="00B7649B" w:rsidRDefault="00B7649B" w:rsidP="00B7649B">
            <w:pPr>
              <w:tabs>
                <w:tab w:val="left" w:pos="5529"/>
                <w:tab w:val="left" w:pos="5954"/>
                <w:tab w:val="left" w:pos="9639"/>
              </w:tabs>
              <w:contextualSpacing/>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04731</w:t>
            </w:r>
          </w:p>
        </w:tc>
      </w:tr>
    </w:tbl>
    <w:p w:rsidR="00B7649B" w:rsidRDefault="00B7649B" w:rsidP="0062667A">
      <w:pPr>
        <w:jc w:val="center"/>
        <w:rPr>
          <w:b/>
          <w:sz w:val="28"/>
          <w:szCs w:val="28"/>
        </w:rPr>
      </w:pPr>
    </w:p>
    <w:p w:rsidR="00B7649B" w:rsidRPr="00B7649B" w:rsidRDefault="00B7649B" w:rsidP="00B7649B">
      <w:pPr>
        <w:rPr>
          <w:color w:val="2E74B5" w:themeColor="accent1" w:themeShade="BF"/>
          <w:sz w:val="24"/>
          <w:szCs w:val="24"/>
        </w:rPr>
      </w:pPr>
      <w:r w:rsidRPr="00B7649B">
        <w:rPr>
          <w:color w:val="2E74B5" w:themeColor="accent1" w:themeShade="BF"/>
          <w:sz w:val="24"/>
          <w:szCs w:val="24"/>
        </w:rPr>
        <w:t>Broj: 01-</w:t>
      </w:r>
      <w:r w:rsidR="002C2336">
        <w:rPr>
          <w:color w:val="2E74B5" w:themeColor="accent1" w:themeShade="BF"/>
          <w:sz w:val="24"/>
          <w:szCs w:val="24"/>
        </w:rPr>
        <w:t>115/</w:t>
      </w:r>
      <w:r w:rsidR="004F345A">
        <w:rPr>
          <w:color w:val="2E74B5" w:themeColor="accent1" w:themeShade="BF"/>
          <w:sz w:val="24"/>
          <w:szCs w:val="24"/>
        </w:rPr>
        <w:t>21-2023</w:t>
      </w:r>
      <w:r w:rsidR="00472363">
        <w:rPr>
          <w:color w:val="2E74B5" w:themeColor="accent1" w:themeShade="BF"/>
          <w:sz w:val="24"/>
          <w:szCs w:val="24"/>
        </w:rPr>
        <w:t>.</w:t>
      </w: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Pr="00B7649B" w:rsidRDefault="00B7649B" w:rsidP="00B7649B">
      <w:pPr>
        <w:spacing w:after="200" w:line="276" w:lineRule="auto"/>
        <w:contextualSpacing/>
        <w:jc w:val="center"/>
        <w:rPr>
          <w:rFonts w:ascii="Times New Roman" w:eastAsia="Calibri" w:hAnsi="Times New Roman" w:cs="Times New Roman"/>
          <w:b/>
          <w:color w:val="4F81BD"/>
          <w:sz w:val="24"/>
          <w:szCs w:val="24"/>
        </w:rPr>
      </w:pPr>
      <w:r w:rsidRPr="00B7649B">
        <w:rPr>
          <w:rFonts w:ascii="Times New Roman" w:eastAsia="Calibri" w:hAnsi="Times New Roman" w:cs="Times New Roman"/>
          <w:b/>
          <w:color w:val="4F81BD"/>
          <w:sz w:val="24"/>
          <w:szCs w:val="24"/>
        </w:rPr>
        <w:t xml:space="preserve">OBRAZLOŽENJE UZ IZVJEŠTAJ POLUGODIŠNJEG IZVRŠENJA FINANCIJSKOG PLANA 2023. GODINE SPECIJALNE BOLNICE ZA MEDICINSKU REHABILITACIJU VARAŽDINSKE TOPLICE </w:t>
      </w: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62667A">
      <w:pPr>
        <w:jc w:val="center"/>
        <w:rPr>
          <w:b/>
          <w:sz w:val="28"/>
          <w:szCs w:val="28"/>
        </w:rPr>
      </w:pPr>
    </w:p>
    <w:p w:rsidR="00B7649B" w:rsidRDefault="00B7649B" w:rsidP="00B7649B">
      <w:pPr>
        <w:rPr>
          <w:b/>
          <w:sz w:val="28"/>
          <w:szCs w:val="28"/>
        </w:rPr>
      </w:pPr>
    </w:p>
    <w:p w:rsidR="00B7649B" w:rsidRPr="000319CC" w:rsidRDefault="00B7649B" w:rsidP="0062667A">
      <w:pPr>
        <w:jc w:val="center"/>
        <w:rPr>
          <w:rFonts w:ascii="Times New Roman" w:hAnsi="Times New Roman" w:cs="Times New Roman"/>
          <w:color w:val="2E74B5" w:themeColor="accent1" w:themeShade="BF"/>
          <w:sz w:val="24"/>
          <w:szCs w:val="24"/>
          <w14:textOutline w14:w="0" w14:cap="flat" w14:cmpd="sng" w14:algn="ctr">
            <w14:noFill/>
            <w14:prstDash w14:val="solid"/>
            <w14:round/>
          </w14:textOutline>
        </w:rPr>
      </w:pPr>
      <w:r w:rsidRPr="000319CC">
        <w:rPr>
          <w:rFonts w:ascii="Times New Roman" w:hAnsi="Times New Roman" w:cs="Times New Roman"/>
          <w:color w:val="2E74B5" w:themeColor="accent1" w:themeShade="BF"/>
          <w:sz w:val="24"/>
          <w:szCs w:val="24"/>
          <w14:textOutline w14:w="0" w14:cap="flat" w14:cmpd="sng" w14:algn="ctr">
            <w14:noFill/>
            <w14:prstDash w14:val="solid"/>
            <w14:round/>
          </w14:textOutline>
        </w:rPr>
        <w:t>Varaždinske Toplice, 27.07.2023. godine</w:t>
      </w:r>
    </w:p>
    <w:p w:rsidR="009025B0" w:rsidRPr="000319CC" w:rsidRDefault="009025B0" w:rsidP="009025B0">
      <w:pPr>
        <w:pStyle w:val="Naslov1"/>
        <w:rPr>
          <w:rFonts w:ascii="Times New Roman" w:eastAsia="Times New Roman" w:hAnsi="Times New Roman" w:cs="Times New Roman"/>
          <w:lang w:eastAsia="hr-HR"/>
        </w:rPr>
      </w:pPr>
      <w:r w:rsidRPr="000319CC">
        <w:rPr>
          <w:rFonts w:ascii="Times New Roman" w:eastAsia="Times New Roman" w:hAnsi="Times New Roman" w:cs="Times New Roman"/>
          <w:lang w:eastAsia="hr-HR"/>
        </w:rPr>
        <w:lastRenderedPageBreak/>
        <w:t xml:space="preserve">SAŽETAK DJELOKRUGA RADA: </w:t>
      </w:r>
    </w:p>
    <w:p w:rsidR="009025B0" w:rsidRPr="004F345A" w:rsidRDefault="009025B0" w:rsidP="009025B0">
      <w:pPr>
        <w:spacing w:before="120" w:after="0" w:line="240" w:lineRule="auto"/>
        <w:jc w:val="both"/>
        <w:rPr>
          <w:rFonts w:ascii="Times New Roman" w:eastAsia="Times New Roman" w:hAnsi="Times New Roman" w:cs="Times New Roman"/>
          <w:b/>
          <w:bCs/>
          <w:lang w:eastAsia="hr-HR"/>
        </w:rPr>
      </w:pPr>
      <w:r w:rsidRPr="004F345A">
        <w:rPr>
          <w:rFonts w:ascii="Times New Roman" w:eastAsia="Times New Roman" w:hAnsi="Times New Roman" w:cs="Times New Roman"/>
          <w:bCs/>
          <w:lang w:eastAsia="hr-HR"/>
        </w:rPr>
        <w:t>Specijalna bolnica obavlja djelatnosti bolničke i specijalističko-konzilijarne zdravstvene zaštite u djelatnosti fizikalne medicine i rehabilitacije.</w:t>
      </w:r>
    </w:p>
    <w:p w:rsidR="009025B0" w:rsidRPr="004F345A" w:rsidRDefault="009025B0" w:rsidP="009025B0">
      <w:pPr>
        <w:spacing w:before="120" w:after="0" w:line="240" w:lineRule="auto"/>
        <w:jc w:val="both"/>
        <w:rPr>
          <w:rFonts w:ascii="Times New Roman" w:eastAsia="Times New Roman" w:hAnsi="Times New Roman" w:cs="Times New Roman"/>
          <w:bCs/>
          <w:lang w:eastAsia="hr-HR"/>
        </w:rPr>
      </w:pPr>
      <w:r w:rsidRPr="004F345A">
        <w:rPr>
          <w:rFonts w:ascii="Times New Roman" w:eastAsia="Times New Roman" w:hAnsi="Times New Roman" w:cs="Times New Roman"/>
          <w:bCs/>
          <w:lang w:eastAsia="hr-HR"/>
        </w:rPr>
        <w:t>U okviru djelatnosti bolničke i specijalističko-konzilijarne zdravstvene zaštite,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9025B0" w:rsidRPr="004F345A" w:rsidRDefault="009025B0" w:rsidP="009025B0">
      <w:pPr>
        <w:spacing w:before="120" w:after="0" w:line="240" w:lineRule="auto"/>
        <w:jc w:val="both"/>
        <w:rPr>
          <w:rFonts w:ascii="Times New Roman" w:eastAsia="Times New Roman" w:hAnsi="Times New Roman" w:cs="Times New Roman"/>
          <w:bCs/>
          <w:lang w:eastAsia="hr-HR"/>
        </w:rPr>
      </w:pPr>
      <w:r w:rsidRPr="004F345A">
        <w:rPr>
          <w:rFonts w:ascii="Times New Roman" w:eastAsia="Times New Roman" w:hAnsi="Times New Roman" w:cs="Times New Roman"/>
          <w:bCs/>
          <w:lang w:eastAsia="hr-HR"/>
        </w:rPr>
        <w:t>Specijalna bolnica za medicinsku rehabilitaciju Varaždinske Toplice može obavljati znanstveno-nastavnu djelatnost uz suglasnost Ministarstva zdravstva.</w:t>
      </w:r>
    </w:p>
    <w:p w:rsidR="009025B0" w:rsidRPr="004F345A" w:rsidRDefault="009025B0" w:rsidP="009025B0">
      <w:pPr>
        <w:spacing w:before="120" w:after="0" w:line="240" w:lineRule="auto"/>
        <w:jc w:val="both"/>
        <w:rPr>
          <w:rFonts w:ascii="Times New Roman" w:eastAsia="Times New Roman" w:hAnsi="Times New Roman" w:cs="Times New Roman"/>
          <w:bCs/>
          <w:lang w:eastAsia="hr-HR"/>
        </w:rPr>
      </w:pPr>
      <w:r w:rsidRPr="004F345A">
        <w:rPr>
          <w:rFonts w:ascii="Times New Roman" w:eastAsia="Times New Roman" w:hAnsi="Times New Roman" w:cs="Times New Roman"/>
          <w:bCs/>
          <w:lang w:eastAsia="hr-HR"/>
        </w:rPr>
        <w:t>Statutom Bolnice je utvrđeno da, osim osnovne djelatnosti, Specijalna bolnica može uz prethodnu suglasnost Ministarstva zdravstva pružati zdravstvene usluge u turizmu te obavljati djelatnost ugostiteljstva, turizma i trgovine, odnosno poslove za koje ima odobrenje sukladno posebnom propisu.</w:t>
      </w:r>
    </w:p>
    <w:p w:rsidR="009025B0" w:rsidRPr="004F345A" w:rsidRDefault="009025B0" w:rsidP="009025B0">
      <w:pPr>
        <w:jc w:val="both"/>
        <w:rPr>
          <w:rFonts w:ascii="Times New Roman" w:eastAsia="Times New Roman" w:hAnsi="Times New Roman" w:cs="Times New Roman"/>
          <w:bCs/>
          <w:lang w:eastAsia="hr-HR"/>
        </w:rPr>
      </w:pPr>
      <w:r w:rsidRPr="004F345A">
        <w:rPr>
          <w:rFonts w:ascii="Times New Roman" w:eastAsia="Times New Roman" w:hAnsi="Times New Roman" w:cs="Times New Roman"/>
          <w:bCs/>
          <w:lang w:eastAsia="hr-HR"/>
        </w:rPr>
        <w:t>Rješenjem Ministarstva zdravstva od 15.07.2022.godine, Specijalna bolnica dobila je suglasnost za obavljanje djelatnosti zdravstvenog turizma pružanjem zdravstvenih usluga- dijagnostičkih i terapijskih postupaka fizikalne medicine i rehabilitacije, zdravstvene njege te postupaka medicinske rehabilitacije uz pružanje ugostiteljskih usluga i usluga u turizmu, te za pružanje usluga medicinskog wellnessa.</w:t>
      </w: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4F345A" w:rsidRDefault="004F345A"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4F345A" w:rsidRDefault="004F345A"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9025B0" w:rsidRDefault="009025B0" w:rsidP="00B7649B">
      <w:pPr>
        <w:rPr>
          <w:rFonts w:asciiTheme="majorHAnsi" w:eastAsiaTheme="majorEastAsia" w:hAnsiTheme="majorHAnsi" w:cstheme="majorBidi"/>
          <w:color w:val="2E74B5" w:themeColor="accent1" w:themeShade="BF"/>
          <w:sz w:val="32"/>
          <w:szCs w:val="32"/>
        </w:rPr>
      </w:pPr>
    </w:p>
    <w:p w:rsidR="00B7649B" w:rsidRPr="000319CC" w:rsidRDefault="00B7649B" w:rsidP="009025B0">
      <w:pPr>
        <w:pStyle w:val="Naslov1"/>
        <w:rPr>
          <w:rFonts w:ascii="Times New Roman" w:hAnsi="Times New Roman" w:cs="Times New Roman"/>
        </w:rPr>
      </w:pPr>
      <w:r w:rsidRPr="000319CC">
        <w:rPr>
          <w:rFonts w:ascii="Times New Roman" w:hAnsi="Times New Roman" w:cs="Times New Roman"/>
        </w:rPr>
        <w:lastRenderedPageBreak/>
        <w:t>Uvod</w:t>
      </w:r>
    </w:p>
    <w:p w:rsidR="004F345A" w:rsidRPr="004F345A" w:rsidRDefault="004F345A" w:rsidP="004F345A"/>
    <w:p w:rsidR="00B7649B" w:rsidRPr="004F345A" w:rsidRDefault="00B7649B" w:rsidP="00B7649B">
      <w:pPr>
        <w:jc w:val="both"/>
        <w:rPr>
          <w:rFonts w:ascii="Times New Roman" w:hAnsi="Times New Roman" w:cs="Times New Roman"/>
        </w:rPr>
      </w:pPr>
      <w:r w:rsidRPr="004F345A">
        <w:rPr>
          <w:rFonts w:ascii="Times New Roman" w:hAnsi="Times New Roman" w:cs="Times New Roman"/>
        </w:rPr>
        <w:t xml:space="preserve">Sadržaj Izvještaja o izvršenju Financijskog plana Specijalne bolnice za medicinsku rehabilitaciju Varaždinske Toplice, daje prikaz ukupno ostvarenih prihoda i primitaka te rashoda i izdataka na razini ekonomske klasifikacije (Opći dio) i raspodjelu po organizacijskoj i programskoj klasifikaciji u Posebnom dijelu Proračuna Specijalne bolnice </w:t>
      </w:r>
      <w:r w:rsidR="001B5F93" w:rsidRPr="004F345A">
        <w:rPr>
          <w:rFonts w:ascii="Times New Roman" w:hAnsi="Times New Roman" w:cs="Times New Roman"/>
        </w:rPr>
        <w:t xml:space="preserve">za medicinsku rehabilitaciju </w:t>
      </w:r>
      <w:r w:rsidRPr="004F345A">
        <w:rPr>
          <w:rFonts w:ascii="Times New Roman" w:hAnsi="Times New Roman" w:cs="Times New Roman"/>
        </w:rPr>
        <w:t>Varaždinske Toplice.</w:t>
      </w:r>
    </w:p>
    <w:p w:rsidR="00B7649B" w:rsidRPr="004F345A" w:rsidRDefault="00B7649B" w:rsidP="00B7649B">
      <w:pPr>
        <w:jc w:val="both"/>
        <w:rPr>
          <w:rFonts w:ascii="Times New Roman" w:hAnsi="Times New Roman" w:cs="Times New Roman"/>
        </w:rPr>
      </w:pPr>
      <w:r w:rsidRPr="004F345A">
        <w:rPr>
          <w:rFonts w:ascii="Times New Roman" w:hAnsi="Times New Roman" w:cs="Times New Roman"/>
        </w:rPr>
        <w:t xml:space="preserve">Na </w:t>
      </w:r>
      <w:r w:rsidR="003B0FC5" w:rsidRPr="004F345A">
        <w:rPr>
          <w:rFonts w:ascii="Times New Roman" w:hAnsi="Times New Roman" w:cs="Times New Roman"/>
        </w:rPr>
        <w:t>102</w:t>
      </w:r>
      <w:r w:rsidRPr="004F345A">
        <w:rPr>
          <w:rFonts w:ascii="Times New Roman" w:hAnsi="Times New Roman" w:cs="Times New Roman"/>
        </w:rPr>
        <w:t xml:space="preserve">. sjednici Upravnog vijeća održanoj dana </w:t>
      </w:r>
      <w:r w:rsidR="003B0FC5" w:rsidRPr="004F345A">
        <w:rPr>
          <w:rFonts w:ascii="Times New Roman" w:hAnsi="Times New Roman" w:cs="Times New Roman"/>
        </w:rPr>
        <w:t>27</w:t>
      </w:r>
      <w:r w:rsidRPr="004F345A">
        <w:rPr>
          <w:rFonts w:ascii="Times New Roman" w:hAnsi="Times New Roman" w:cs="Times New Roman"/>
        </w:rPr>
        <w:t>.12.202</w:t>
      </w:r>
      <w:r w:rsidR="003B0FC5" w:rsidRPr="004F345A">
        <w:rPr>
          <w:rFonts w:ascii="Times New Roman" w:hAnsi="Times New Roman" w:cs="Times New Roman"/>
        </w:rPr>
        <w:t>2</w:t>
      </w:r>
      <w:r w:rsidRPr="004F345A">
        <w:rPr>
          <w:rFonts w:ascii="Times New Roman" w:hAnsi="Times New Roman" w:cs="Times New Roman"/>
        </w:rPr>
        <w:t>. godine, prihvaćen je Financijski plan za 202</w:t>
      </w:r>
      <w:r w:rsidR="003B0FC5" w:rsidRPr="004F345A">
        <w:rPr>
          <w:rFonts w:ascii="Times New Roman" w:hAnsi="Times New Roman" w:cs="Times New Roman"/>
        </w:rPr>
        <w:t>3</w:t>
      </w:r>
      <w:r w:rsidRPr="004F345A">
        <w:rPr>
          <w:rFonts w:ascii="Times New Roman" w:hAnsi="Times New Roman" w:cs="Times New Roman"/>
        </w:rPr>
        <w:t>. godinu s projekcijom za 202</w:t>
      </w:r>
      <w:r w:rsidR="003B0FC5" w:rsidRPr="004F345A">
        <w:rPr>
          <w:rFonts w:ascii="Times New Roman" w:hAnsi="Times New Roman" w:cs="Times New Roman"/>
        </w:rPr>
        <w:t>4</w:t>
      </w:r>
      <w:r w:rsidRPr="004F345A">
        <w:rPr>
          <w:rFonts w:ascii="Times New Roman" w:hAnsi="Times New Roman" w:cs="Times New Roman"/>
        </w:rPr>
        <w:t>. i 202</w:t>
      </w:r>
      <w:r w:rsidR="003B0FC5" w:rsidRPr="004F345A">
        <w:rPr>
          <w:rFonts w:ascii="Times New Roman" w:hAnsi="Times New Roman" w:cs="Times New Roman"/>
        </w:rPr>
        <w:t>5</w:t>
      </w:r>
      <w:r w:rsidRPr="004F345A">
        <w:rPr>
          <w:rFonts w:ascii="Times New Roman" w:hAnsi="Times New Roman" w:cs="Times New Roman"/>
        </w:rPr>
        <w:t>4. godinu (broj: 01-</w:t>
      </w:r>
      <w:r w:rsidR="003B0FC5" w:rsidRPr="004F345A">
        <w:rPr>
          <w:rFonts w:ascii="Times New Roman" w:hAnsi="Times New Roman" w:cs="Times New Roman"/>
        </w:rPr>
        <w:t>1491</w:t>
      </w:r>
      <w:r w:rsidRPr="004F345A">
        <w:rPr>
          <w:rFonts w:ascii="Times New Roman" w:hAnsi="Times New Roman" w:cs="Times New Roman"/>
        </w:rPr>
        <w:t>/</w:t>
      </w:r>
      <w:r w:rsidR="003B0FC5" w:rsidRPr="004F345A">
        <w:rPr>
          <w:rFonts w:ascii="Times New Roman" w:hAnsi="Times New Roman" w:cs="Times New Roman"/>
        </w:rPr>
        <w:t>9</w:t>
      </w:r>
      <w:r w:rsidRPr="004F345A">
        <w:rPr>
          <w:rFonts w:ascii="Times New Roman" w:hAnsi="Times New Roman" w:cs="Times New Roman"/>
        </w:rPr>
        <w:t>-202</w:t>
      </w:r>
      <w:r w:rsidR="003B0FC5" w:rsidRPr="004F345A">
        <w:rPr>
          <w:rFonts w:ascii="Times New Roman" w:hAnsi="Times New Roman" w:cs="Times New Roman"/>
        </w:rPr>
        <w:t>2</w:t>
      </w:r>
      <w:r w:rsidRPr="004F345A">
        <w:rPr>
          <w:rFonts w:ascii="Times New Roman" w:hAnsi="Times New Roman" w:cs="Times New Roman"/>
        </w:rPr>
        <w:t>.).</w:t>
      </w:r>
    </w:p>
    <w:p w:rsidR="003B0FC5" w:rsidRPr="004F345A" w:rsidRDefault="003B0FC5" w:rsidP="003B0FC5">
      <w:pPr>
        <w:jc w:val="both"/>
        <w:rPr>
          <w:rFonts w:ascii="Times New Roman" w:hAnsi="Times New Roman" w:cs="Times New Roman"/>
        </w:rPr>
      </w:pPr>
      <w:r w:rsidRPr="004F345A">
        <w:rPr>
          <w:rFonts w:ascii="Times New Roman" w:hAnsi="Times New Roman" w:cs="Times New Roman"/>
        </w:rPr>
        <w:t xml:space="preserve">Novim Zakonom o proračunu (NN broj 144/21) koji je stupio na snagu 01.01.2022. godine propisana je obveza proračunskih korisnika da osim sastavljanja prijedloga godišnjeg izvještaja o izvršenju financijskog plana sastavi i prijedlog polugodišnjeg izvještaja te ga dostavi upravljačkom tijelu na usvajanje do 31. srpnja tekuće proračunske godine, nakon čega se dostavlja nadležnom Upravnom odjelu. Novim zakonom o proračunu propisan je i sadržaj, oblik te rokovi podnošenja polugodišnjeg i godišnjeg prijedloga izvještaja o izvršenju financijskog plana proračunskog korisnika i to člancima od 81. do 86. novog Zakona o proračunu. </w:t>
      </w:r>
    </w:p>
    <w:p w:rsidR="003B0FC5" w:rsidRPr="004F345A" w:rsidRDefault="003B0FC5" w:rsidP="003B0FC5">
      <w:pPr>
        <w:jc w:val="both"/>
        <w:rPr>
          <w:rFonts w:ascii="Times New Roman" w:hAnsi="Times New Roman" w:cs="Times New Roman"/>
        </w:rPr>
      </w:pPr>
      <w:r w:rsidRPr="004F345A">
        <w:rPr>
          <w:rFonts w:ascii="Times New Roman" w:hAnsi="Times New Roman" w:cs="Times New Roman"/>
        </w:rPr>
        <w:t>Također u članku 144. Zakon o proračunu propisana je obveza objavljivanja financijskog plana (sa svim izmjenama i dopunama) te objava Izvještaja o izvršenju financijskog plana (polugodišnjeg i godišnjeg) na mrežnim stranicama proračunskog korisnika.</w:t>
      </w:r>
    </w:p>
    <w:p w:rsidR="003B0FC5" w:rsidRPr="004F345A" w:rsidRDefault="003B0FC5" w:rsidP="003B0FC5">
      <w:pPr>
        <w:jc w:val="both"/>
        <w:rPr>
          <w:rFonts w:ascii="Times New Roman" w:hAnsi="Times New Roman" w:cs="Times New Roman"/>
        </w:rPr>
      </w:pPr>
      <w:r w:rsidRPr="004F345A">
        <w:rPr>
          <w:rFonts w:ascii="Times New Roman" w:hAnsi="Times New Roman" w:cs="Times New Roman"/>
        </w:rPr>
        <w:t>Sukladno člancima 81. do 86. Zakona o proračunu, polugodišnji izvještaj o izvršenju financijskog plana sadrži:</w:t>
      </w:r>
    </w:p>
    <w:p w:rsidR="003B0FC5" w:rsidRPr="004F345A" w:rsidRDefault="003B0FC5" w:rsidP="003B0FC5">
      <w:pPr>
        <w:numPr>
          <w:ilvl w:val="0"/>
          <w:numId w:val="3"/>
        </w:numPr>
        <w:contextualSpacing/>
        <w:jc w:val="both"/>
        <w:rPr>
          <w:rFonts w:ascii="Times New Roman" w:hAnsi="Times New Roman" w:cs="Times New Roman"/>
        </w:rPr>
      </w:pPr>
      <w:r w:rsidRPr="004F345A">
        <w:rPr>
          <w:rFonts w:ascii="Times New Roman" w:hAnsi="Times New Roman" w:cs="Times New Roman"/>
        </w:rPr>
        <w:t>Opći dio</w:t>
      </w:r>
    </w:p>
    <w:p w:rsidR="003B0FC5" w:rsidRPr="004F345A" w:rsidRDefault="003B0FC5" w:rsidP="003B0FC5">
      <w:pPr>
        <w:numPr>
          <w:ilvl w:val="0"/>
          <w:numId w:val="3"/>
        </w:numPr>
        <w:contextualSpacing/>
        <w:jc w:val="both"/>
        <w:rPr>
          <w:rFonts w:ascii="Times New Roman" w:hAnsi="Times New Roman" w:cs="Times New Roman"/>
        </w:rPr>
      </w:pPr>
      <w:r w:rsidRPr="004F345A">
        <w:rPr>
          <w:rFonts w:ascii="Times New Roman" w:hAnsi="Times New Roman" w:cs="Times New Roman"/>
        </w:rPr>
        <w:t>Posebni dio</w:t>
      </w:r>
    </w:p>
    <w:p w:rsidR="003B0FC5" w:rsidRPr="004F345A" w:rsidRDefault="003B0FC5" w:rsidP="003B0FC5">
      <w:pPr>
        <w:numPr>
          <w:ilvl w:val="0"/>
          <w:numId w:val="3"/>
        </w:numPr>
        <w:contextualSpacing/>
        <w:jc w:val="both"/>
        <w:rPr>
          <w:rFonts w:ascii="Times New Roman" w:hAnsi="Times New Roman" w:cs="Times New Roman"/>
        </w:rPr>
      </w:pPr>
      <w:r w:rsidRPr="004F345A">
        <w:rPr>
          <w:rFonts w:ascii="Times New Roman" w:hAnsi="Times New Roman" w:cs="Times New Roman"/>
        </w:rPr>
        <w:t>Obrazloženje</w:t>
      </w:r>
    </w:p>
    <w:p w:rsidR="003B0FC5" w:rsidRPr="004F345A" w:rsidRDefault="003B0FC5" w:rsidP="003B0FC5">
      <w:pPr>
        <w:numPr>
          <w:ilvl w:val="0"/>
          <w:numId w:val="3"/>
        </w:numPr>
        <w:contextualSpacing/>
        <w:jc w:val="both"/>
        <w:rPr>
          <w:rFonts w:ascii="Times New Roman" w:hAnsi="Times New Roman" w:cs="Times New Roman"/>
        </w:rPr>
      </w:pPr>
      <w:r w:rsidRPr="004F345A">
        <w:rPr>
          <w:rFonts w:ascii="Times New Roman" w:hAnsi="Times New Roman" w:cs="Times New Roman"/>
        </w:rPr>
        <w:t xml:space="preserve">Posebne izvještaje </w:t>
      </w:r>
    </w:p>
    <w:p w:rsidR="003B0FC5" w:rsidRPr="004F345A" w:rsidRDefault="003B0FC5" w:rsidP="003B0FC5">
      <w:pPr>
        <w:ind w:left="780"/>
        <w:contextualSpacing/>
        <w:jc w:val="both"/>
        <w:rPr>
          <w:rFonts w:ascii="Times New Roman" w:hAnsi="Times New Roman" w:cs="Times New Roman"/>
        </w:rPr>
      </w:pPr>
    </w:p>
    <w:p w:rsidR="003B0FC5" w:rsidRPr="004F345A" w:rsidRDefault="003B0FC5" w:rsidP="003B0FC5">
      <w:pPr>
        <w:jc w:val="both"/>
        <w:rPr>
          <w:rFonts w:ascii="Times New Roman" w:hAnsi="Times New Roman" w:cs="Times New Roman"/>
        </w:rPr>
      </w:pPr>
      <w:r w:rsidRPr="004F345A">
        <w:rPr>
          <w:rFonts w:ascii="Times New Roman" w:hAnsi="Times New Roman" w:cs="Times New Roman"/>
        </w:rPr>
        <w:t>Polugodišnji izvještaj o izvršenju financijskog plana Specijalne bolnice za medicinsku rehabilitaciju Varaždinske Toplice za razdoblje od 01.01.2023.-30.06.2023. godine objavit će se na internetskim stranicama Specijalne bolnice za medicinsku rehabilitaciju Varaždinsk</w:t>
      </w:r>
      <w:r w:rsidR="002C2336" w:rsidRPr="004F345A">
        <w:rPr>
          <w:rFonts w:ascii="Times New Roman" w:hAnsi="Times New Roman" w:cs="Times New Roman"/>
        </w:rPr>
        <w:t xml:space="preserve">e Toplice </w:t>
      </w:r>
      <w:hyperlink r:id="rId8" w:history="1">
        <w:r w:rsidR="002C2336" w:rsidRPr="004F345A">
          <w:rPr>
            <w:rStyle w:val="Hiperveza"/>
            <w:rFonts w:ascii="Times New Roman" w:hAnsi="Times New Roman" w:cs="Times New Roman"/>
          </w:rPr>
          <w:t>www.minerva</w:t>
        </w:r>
      </w:hyperlink>
      <w:r w:rsidR="0093135F">
        <w:rPr>
          <w:rStyle w:val="Hiperveza"/>
          <w:rFonts w:ascii="Times New Roman" w:hAnsi="Times New Roman" w:cs="Times New Roman"/>
        </w:rPr>
        <w:t>.hr</w:t>
      </w:r>
      <w:r w:rsidR="002C2336" w:rsidRPr="004F345A">
        <w:rPr>
          <w:rFonts w:ascii="Times New Roman" w:hAnsi="Times New Roman" w:cs="Times New Roman"/>
        </w:rPr>
        <w:t xml:space="preserve"> </w:t>
      </w:r>
      <w:r w:rsidRPr="004F345A">
        <w:rPr>
          <w:rFonts w:ascii="Times New Roman" w:hAnsi="Times New Roman" w:cs="Times New Roman"/>
        </w:rPr>
        <w:t>.</w:t>
      </w:r>
    </w:p>
    <w:p w:rsidR="003B0FC5" w:rsidRPr="00B7649B" w:rsidRDefault="003B0FC5" w:rsidP="00B7649B">
      <w:pPr>
        <w:jc w:val="both"/>
      </w:pPr>
    </w:p>
    <w:p w:rsidR="00B7649B" w:rsidRDefault="00B7649B" w:rsidP="00B7649B">
      <w:pPr>
        <w:rPr>
          <w:b/>
          <w:sz w:val="28"/>
          <w:szCs w:val="28"/>
        </w:rPr>
      </w:pPr>
    </w:p>
    <w:p w:rsidR="00B7649B" w:rsidRDefault="00B7649B" w:rsidP="0062667A">
      <w:pPr>
        <w:jc w:val="center"/>
        <w:rPr>
          <w:b/>
          <w:sz w:val="28"/>
          <w:szCs w:val="28"/>
        </w:rPr>
      </w:pPr>
    </w:p>
    <w:p w:rsidR="003B0FC5" w:rsidRDefault="003B0FC5" w:rsidP="0062667A">
      <w:pPr>
        <w:jc w:val="center"/>
        <w:rPr>
          <w:b/>
          <w:sz w:val="28"/>
          <w:szCs w:val="28"/>
        </w:rPr>
      </w:pPr>
    </w:p>
    <w:p w:rsidR="003B0FC5" w:rsidRDefault="003B0FC5" w:rsidP="0062667A">
      <w:pPr>
        <w:jc w:val="center"/>
        <w:rPr>
          <w:b/>
          <w:sz w:val="28"/>
          <w:szCs w:val="28"/>
        </w:rPr>
      </w:pPr>
    </w:p>
    <w:p w:rsidR="003B0FC5" w:rsidRDefault="003B0FC5" w:rsidP="0062667A">
      <w:pPr>
        <w:jc w:val="center"/>
        <w:rPr>
          <w:b/>
          <w:sz w:val="28"/>
          <w:szCs w:val="28"/>
        </w:rPr>
      </w:pPr>
    </w:p>
    <w:p w:rsidR="003B0FC5" w:rsidRDefault="003B0FC5" w:rsidP="0062667A">
      <w:pPr>
        <w:jc w:val="center"/>
        <w:rPr>
          <w:b/>
          <w:sz w:val="28"/>
          <w:szCs w:val="28"/>
        </w:rPr>
      </w:pPr>
    </w:p>
    <w:p w:rsidR="004F345A" w:rsidRDefault="004F345A" w:rsidP="0062667A">
      <w:pPr>
        <w:jc w:val="center"/>
        <w:rPr>
          <w:b/>
          <w:sz w:val="28"/>
          <w:szCs w:val="28"/>
        </w:rPr>
      </w:pPr>
    </w:p>
    <w:p w:rsidR="00B7649B" w:rsidRDefault="00B7649B" w:rsidP="0062667A">
      <w:pPr>
        <w:jc w:val="center"/>
        <w:rPr>
          <w:b/>
          <w:sz w:val="28"/>
          <w:szCs w:val="28"/>
        </w:rPr>
      </w:pPr>
    </w:p>
    <w:p w:rsidR="0062667A" w:rsidRPr="000319CC" w:rsidRDefault="0062667A" w:rsidP="003B0FC5">
      <w:pPr>
        <w:pStyle w:val="Naslov2"/>
        <w:numPr>
          <w:ilvl w:val="0"/>
          <w:numId w:val="4"/>
        </w:numPr>
        <w:rPr>
          <w:rFonts w:ascii="Times New Roman" w:hAnsi="Times New Roman" w:cs="Times New Roman"/>
        </w:rPr>
      </w:pPr>
      <w:r w:rsidRPr="000319CC">
        <w:rPr>
          <w:rFonts w:ascii="Times New Roman" w:hAnsi="Times New Roman" w:cs="Times New Roman"/>
        </w:rPr>
        <w:lastRenderedPageBreak/>
        <w:t>OBRAZLOŽENJE OPĆEG DIJELA POLUGODIŠNJEG IZVJEŠTAJA O IZVRŠENJU FINANCIJSKOG PLANA</w:t>
      </w:r>
    </w:p>
    <w:p w:rsidR="0062667A" w:rsidRPr="0062667A" w:rsidRDefault="0062667A" w:rsidP="0062667A">
      <w:pPr>
        <w:jc w:val="both"/>
      </w:pPr>
    </w:p>
    <w:p w:rsidR="0062667A" w:rsidRPr="000319CC" w:rsidRDefault="0062667A" w:rsidP="00ED6C54">
      <w:pPr>
        <w:pStyle w:val="Naslov2"/>
        <w:rPr>
          <w:rFonts w:ascii="Times New Roman" w:hAnsi="Times New Roman" w:cs="Times New Roman"/>
        </w:rPr>
      </w:pPr>
      <w:r w:rsidRPr="000319CC">
        <w:rPr>
          <w:rFonts w:ascii="Times New Roman" w:hAnsi="Times New Roman" w:cs="Times New Roman"/>
        </w:rPr>
        <w:t>Izvršenje prihoda i primitaka za razdoblje 01.01.-30.06.2023. godine</w:t>
      </w:r>
    </w:p>
    <w:p w:rsidR="0062667A" w:rsidRPr="0062667A" w:rsidRDefault="0062667A" w:rsidP="0062667A"/>
    <w:p w:rsidR="0062667A" w:rsidRPr="004F345A" w:rsidRDefault="003B0FC5" w:rsidP="001B6653">
      <w:pPr>
        <w:ind w:left="-567"/>
        <w:jc w:val="both"/>
        <w:rPr>
          <w:rFonts w:ascii="Times New Roman" w:hAnsi="Times New Roman" w:cs="Times New Roman"/>
        </w:rPr>
      </w:pPr>
      <w:r w:rsidRPr="004F345A">
        <w:rPr>
          <w:rFonts w:ascii="Times New Roman" w:hAnsi="Times New Roman" w:cs="Times New Roman"/>
        </w:rPr>
        <w:t xml:space="preserve">Ukupni prihodi i primici planirani su u visini </w:t>
      </w:r>
      <w:r w:rsidR="001B6653" w:rsidRPr="004F345A">
        <w:rPr>
          <w:rFonts w:ascii="Times New Roman" w:hAnsi="Times New Roman" w:cs="Times New Roman"/>
        </w:rPr>
        <w:t>23.346.764,00</w:t>
      </w:r>
      <w:r w:rsidRPr="004F345A">
        <w:rPr>
          <w:rFonts w:ascii="Times New Roman" w:hAnsi="Times New Roman" w:cs="Times New Roman"/>
        </w:rPr>
        <w:t xml:space="preserve"> eura, a izvršeni su u iznosu 9.875.575,14 eura što je </w:t>
      </w:r>
      <w:r w:rsidR="001B6653" w:rsidRPr="004F345A">
        <w:rPr>
          <w:rFonts w:ascii="Times New Roman" w:hAnsi="Times New Roman" w:cs="Times New Roman"/>
        </w:rPr>
        <w:t>42,30</w:t>
      </w:r>
      <w:r w:rsidRPr="004F345A">
        <w:rPr>
          <w:rFonts w:ascii="Times New Roman" w:hAnsi="Times New Roman" w:cs="Times New Roman"/>
        </w:rPr>
        <w:t>% ukupno planiranih sredstava</w:t>
      </w:r>
      <w:r w:rsidR="001B6653" w:rsidRPr="004F345A">
        <w:rPr>
          <w:rFonts w:ascii="Times New Roman" w:hAnsi="Times New Roman" w:cs="Times New Roman"/>
        </w:rPr>
        <w:t xml:space="preserve">. Izvršenje prihoda manje je u odnosu na isto razdoblje prethodne godine za 17,98% ili za 2.165.082,11 eura. Prethodne godine dobiveno više pomoći iz EU sredstava i ostalih pomoći zbog izvođenja građevinsko-obrtničkih radova na izgradnji novog Nacionalno rehabilitacijskog centra za osobe s bolestima i oštećenjima </w:t>
      </w:r>
      <w:proofErr w:type="spellStart"/>
      <w:r w:rsidR="001B6653" w:rsidRPr="004F345A">
        <w:rPr>
          <w:rFonts w:ascii="Times New Roman" w:hAnsi="Times New Roman" w:cs="Times New Roman"/>
        </w:rPr>
        <w:t>kralježnične</w:t>
      </w:r>
      <w:proofErr w:type="spellEnd"/>
      <w:r w:rsidR="001B6653" w:rsidRPr="004F345A">
        <w:rPr>
          <w:rFonts w:ascii="Times New Roman" w:hAnsi="Times New Roman" w:cs="Times New Roman"/>
        </w:rPr>
        <w:t xml:space="preserve"> moždine.</w:t>
      </w:r>
    </w:p>
    <w:tbl>
      <w:tblPr>
        <w:tblW w:w="1059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548"/>
        <w:gridCol w:w="1548"/>
        <w:gridCol w:w="1548"/>
        <w:gridCol w:w="1447"/>
        <w:gridCol w:w="1067"/>
        <w:gridCol w:w="847"/>
      </w:tblGrid>
      <w:tr w:rsidR="0062667A" w:rsidRPr="0062667A" w:rsidTr="001C490B">
        <w:trPr>
          <w:trHeight w:val="503"/>
        </w:trPr>
        <w:tc>
          <w:tcPr>
            <w:tcW w:w="2586"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Oznaka</w:t>
            </w:r>
          </w:p>
        </w:tc>
        <w:tc>
          <w:tcPr>
            <w:tcW w:w="1548"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Ostvarenje </w:t>
            </w:r>
            <w:proofErr w:type="spellStart"/>
            <w:r w:rsidRPr="0062667A">
              <w:rPr>
                <w:rFonts w:ascii="Arial" w:eastAsia="Times New Roman" w:hAnsi="Arial" w:cs="Arial"/>
                <w:bCs/>
                <w:color w:val="000000"/>
                <w:sz w:val="18"/>
                <w:szCs w:val="18"/>
                <w:lang w:eastAsia="hr-HR"/>
              </w:rPr>
              <w:t>preth</w:t>
            </w:r>
            <w:proofErr w:type="spellEnd"/>
            <w:r w:rsidRPr="0062667A">
              <w:rPr>
                <w:rFonts w:ascii="Arial" w:eastAsia="Times New Roman" w:hAnsi="Arial" w:cs="Arial"/>
                <w:bCs/>
                <w:color w:val="000000"/>
                <w:sz w:val="18"/>
                <w:szCs w:val="18"/>
                <w:lang w:eastAsia="hr-HR"/>
              </w:rPr>
              <w:t>. god. (1)</w:t>
            </w:r>
          </w:p>
        </w:tc>
        <w:tc>
          <w:tcPr>
            <w:tcW w:w="1548"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Izvorni plan</w:t>
            </w:r>
          </w:p>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 (2.)</w:t>
            </w:r>
          </w:p>
        </w:tc>
        <w:tc>
          <w:tcPr>
            <w:tcW w:w="1548"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Tekući plan </w:t>
            </w:r>
          </w:p>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w:t>
            </w:r>
          </w:p>
        </w:tc>
        <w:tc>
          <w:tcPr>
            <w:tcW w:w="1447"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Ostvarenje </w:t>
            </w:r>
          </w:p>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(4.)</w:t>
            </w:r>
          </w:p>
        </w:tc>
        <w:tc>
          <w:tcPr>
            <w:tcW w:w="1067"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Indeks </w:t>
            </w:r>
          </w:p>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xml:space="preserve">4./1. </w:t>
            </w:r>
          </w:p>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2023/2022</w:t>
            </w:r>
          </w:p>
        </w:tc>
        <w:tc>
          <w:tcPr>
            <w:tcW w:w="847"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Indeks 4./3. (6.)</w:t>
            </w:r>
          </w:p>
        </w:tc>
      </w:tr>
      <w:tr w:rsidR="001C490B" w:rsidRPr="0062667A" w:rsidTr="001C490B">
        <w:trPr>
          <w:trHeight w:val="244"/>
        </w:trPr>
        <w:tc>
          <w:tcPr>
            <w:tcW w:w="2586" w:type="dxa"/>
            <w:shd w:val="clear" w:color="000000" w:fill="0000FF"/>
            <w:vAlign w:val="bottom"/>
            <w:hideMark/>
          </w:tcPr>
          <w:p w:rsidR="001C490B" w:rsidRPr="0062667A" w:rsidRDefault="001C490B" w:rsidP="001C490B">
            <w:pPr>
              <w:spacing w:after="0" w:line="240" w:lineRule="auto"/>
              <w:ind w:firstLineChars="100" w:firstLine="180"/>
              <w:rPr>
                <w:rFonts w:ascii="Arial" w:eastAsia="Times New Roman" w:hAnsi="Arial" w:cs="Arial"/>
                <w:bCs/>
                <w:color w:val="FFFFFF"/>
                <w:sz w:val="18"/>
                <w:szCs w:val="18"/>
                <w:lang w:eastAsia="hr-HR"/>
              </w:rPr>
            </w:pPr>
            <w:r w:rsidRPr="0062667A">
              <w:rPr>
                <w:rFonts w:ascii="Arial" w:eastAsia="Times New Roman" w:hAnsi="Arial" w:cs="Arial"/>
                <w:bCs/>
                <w:color w:val="FFFFFF"/>
                <w:sz w:val="18"/>
                <w:szCs w:val="18"/>
                <w:lang w:eastAsia="hr-HR"/>
              </w:rPr>
              <w:t>SVEUKUPNO</w:t>
            </w:r>
          </w:p>
        </w:tc>
        <w:tc>
          <w:tcPr>
            <w:tcW w:w="1548"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bCs/>
                <w:color w:val="FFFFFF"/>
                <w:sz w:val="18"/>
                <w:szCs w:val="18"/>
                <w:lang w:eastAsia="hr-HR"/>
              </w:rPr>
            </w:pPr>
            <w:r>
              <w:rPr>
                <w:rFonts w:ascii="Arial" w:eastAsia="Times New Roman" w:hAnsi="Arial" w:cs="Arial"/>
                <w:bCs/>
                <w:color w:val="FFFFFF"/>
                <w:sz w:val="18"/>
                <w:szCs w:val="18"/>
                <w:lang w:eastAsia="hr-HR"/>
              </w:rPr>
              <w:t>12.040.657,25</w:t>
            </w:r>
          </w:p>
        </w:tc>
        <w:tc>
          <w:tcPr>
            <w:tcW w:w="1548"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bCs/>
                <w:color w:val="FFFFFF"/>
                <w:sz w:val="18"/>
                <w:szCs w:val="18"/>
                <w:lang w:eastAsia="hr-HR"/>
              </w:rPr>
            </w:pPr>
            <w:r>
              <w:rPr>
                <w:rFonts w:ascii="Arial" w:eastAsia="Times New Roman" w:hAnsi="Arial" w:cs="Arial"/>
                <w:bCs/>
                <w:color w:val="FFFFFF"/>
                <w:sz w:val="18"/>
                <w:szCs w:val="18"/>
                <w:lang w:eastAsia="hr-HR"/>
              </w:rPr>
              <w:t>23.346.764,00</w:t>
            </w:r>
          </w:p>
        </w:tc>
        <w:tc>
          <w:tcPr>
            <w:tcW w:w="1548"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bCs/>
                <w:color w:val="FFFFFF"/>
                <w:sz w:val="18"/>
                <w:szCs w:val="18"/>
                <w:lang w:eastAsia="hr-HR"/>
              </w:rPr>
            </w:pPr>
            <w:r>
              <w:rPr>
                <w:rFonts w:ascii="Arial" w:eastAsia="Times New Roman" w:hAnsi="Arial" w:cs="Arial"/>
                <w:bCs/>
                <w:color w:val="FFFFFF"/>
                <w:sz w:val="18"/>
                <w:szCs w:val="18"/>
                <w:lang w:eastAsia="hr-HR"/>
              </w:rPr>
              <w:t>23.346.764,00</w:t>
            </w:r>
          </w:p>
        </w:tc>
        <w:tc>
          <w:tcPr>
            <w:tcW w:w="1447"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bCs/>
                <w:color w:val="FFFFFF"/>
                <w:sz w:val="18"/>
                <w:szCs w:val="18"/>
                <w:lang w:eastAsia="hr-HR"/>
              </w:rPr>
            </w:pPr>
            <w:r w:rsidRPr="0062667A">
              <w:rPr>
                <w:rFonts w:ascii="Arial" w:eastAsia="Times New Roman" w:hAnsi="Arial" w:cs="Arial"/>
                <w:bCs/>
                <w:color w:val="FFFFFF"/>
                <w:sz w:val="18"/>
                <w:szCs w:val="18"/>
                <w:lang w:eastAsia="hr-HR"/>
              </w:rPr>
              <w:t>9.875.575,14</w:t>
            </w:r>
          </w:p>
        </w:tc>
        <w:tc>
          <w:tcPr>
            <w:tcW w:w="1067"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bCs/>
                <w:color w:val="FFFFFF"/>
                <w:sz w:val="18"/>
                <w:szCs w:val="18"/>
                <w:lang w:eastAsia="hr-HR"/>
              </w:rPr>
            </w:pPr>
            <w:r>
              <w:rPr>
                <w:rFonts w:ascii="Arial" w:eastAsia="Times New Roman" w:hAnsi="Arial" w:cs="Arial"/>
                <w:bCs/>
                <w:color w:val="FFFFFF"/>
                <w:sz w:val="18"/>
                <w:szCs w:val="18"/>
                <w:lang w:eastAsia="hr-HR"/>
              </w:rPr>
              <w:t>82,02</w:t>
            </w:r>
          </w:p>
        </w:tc>
        <w:tc>
          <w:tcPr>
            <w:tcW w:w="847" w:type="dxa"/>
            <w:shd w:val="clear" w:color="000000" w:fill="0000FF"/>
            <w:vAlign w:val="bottom"/>
            <w:hideMark/>
          </w:tcPr>
          <w:p w:rsidR="001C490B" w:rsidRPr="0062667A" w:rsidRDefault="001C490B" w:rsidP="001C490B">
            <w:pPr>
              <w:spacing w:after="0" w:line="240" w:lineRule="auto"/>
              <w:ind w:firstLineChars="100" w:firstLine="180"/>
              <w:jc w:val="right"/>
              <w:rPr>
                <w:rFonts w:ascii="Arial" w:eastAsia="Times New Roman" w:hAnsi="Arial" w:cs="Arial"/>
                <w:color w:val="FFFFFF"/>
                <w:sz w:val="18"/>
                <w:szCs w:val="18"/>
                <w:lang w:eastAsia="hr-HR"/>
              </w:rPr>
            </w:pPr>
            <w:r>
              <w:rPr>
                <w:rFonts w:ascii="Arial" w:eastAsia="Times New Roman" w:hAnsi="Arial" w:cs="Arial"/>
                <w:color w:val="FFFFFF"/>
                <w:sz w:val="18"/>
                <w:szCs w:val="18"/>
                <w:lang w:eastAsia="hr-HR"/>
              </w:rPr>
              <w:t>42,30</w:t>
            </w:r>
          </w:p>
        </w:tc>
      </w:tr>
      <w:tr w:rsidR="0062667A" w:rsidRPr="0062667A" w:rsidTr="001C490B">
        <w:trPr>
          <w:trHeight w:val="488"/>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63 Pomoći iz inozemstva i od subjekata unutar općeg proračuna</w:t>
            </w:r>
          </w:p>
        </w:tc>
        <w:tc>
          <w:tcPr>
            <w:tcW w:w="1548" w:type="dxa"/>
            <w:shd w:val="clear" w:color="000000" w:fill="FFFFFF"/>
            <w:vAlign w:val="center"/>
            <w:hideMark/>
          </w:tcPr>
          <w:p w:rsidR="0062667A" w:rsidRPr="0062667A" w:rsidRDefault="0062667A" w:rsidP="001C490B">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5.431.</w:t>
            </w:r>
            <w:r w:rsidR="001C490B">
              <w:rPr>
                <w:rFonts w:ascii="Arial" w:eastAsia="Times New Roman" w:hAnsi="Arial" w:cs="Arial"/>
                <w:bCs/>
                <w:color w:val="000000"/>
                <w:sz w:val="18"/>
                <w:szCs w:val="18"/>
                <w:lang w:eastAsia="hr-HR"/>
              </w:rPr>
              <w:t>637,97</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3.103.351,00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3.103.351,00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736.625,78</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13,56</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23,74</w:t>
            </w:r>
          </w:p>
        </w:tc>
      </w:tr>
      <w:tr w:rsidR="0062667A" w:rsidRPr="0062667A" w:rsidTr="001C490B">
        <w:trPr>
          <w:trHeight w:val="244"/>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64 Prihodi od imovine</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683,5</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42.471,00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42.471,00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248,85</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36,41</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0,59</w:t>
            </w:r>
          </w:p>
        </w:tc>
      </w:tr>
      <w:tr w:rsidR="0062667A" w:rsidRPr="0062667A" w:rsidTr="001C490B">
        <w:trPr>
          <w:trHeight w:val="488"/>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65 Prihodi od upravnih i administrativnih pristojbi, pristojbi po posebnim propisima i naknada</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805.866,87</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2.840.268,00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2.840.268,00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1.086.546,19</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134,83</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38,26</w:t>
            </w:r>
          </w:p>
        </w:tc>
      </w:tr>
      <w:tr w:rsidR="0062667A" w:rsidRPr="0062667A" w:rsidTr="001C490B">
        <w:trPr>
          <w:trHeight w:val="747"/>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66 Prihodi od prodaje proizvoda i robe te pruženih usluga i prihodi od donacija te povrati po protestiranim jamstvima</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1.407.567,41</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5.348.729,00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5.348.729,00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1.970.543,64</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140</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36,84</w:t>
            </w:r>
          </w:p>
        </w:tc>
      </w:tr>
      <w:tr w:rsidR="0062667A" w:rsidRPr="0062667A" w:rsidTr="001C490B">
        <w:trPr>
          <w:trHeight w:val="488"/>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67 Prihodi iz nadležnog proračuna i od HZZO-a temeljem ugovornih obveza</w:t>
            </w:r>
          </w:p>
        </w:tc>
        <w:tc>
          <w:tcPr>
            <w:tcW w:w="1548" w:type="dxa"/>
            <w:shd w:val="clear" w:color="000000" w:fill="FFFFFF"/>
            <w:vAlign w:val="center"/>
            <w:hideMark/>
          </w:tcPr>
          <w:p w:rsidR="0062667A" w:rsidRPr="0062667A" w:rsidRDefault="001C490B" w:rsidP="0062667A">
            <w:pPr>
              <w:spacing w:after="0" w:line="240" w:lineRule="auto"/>
              <w:ind w:firstLineChars="100" w:firstLine="180"/>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4.331.162,68</w:t>
            </w:r>
          </w:p>
        </w:tc>
        <w:tc>
          <w:tcPr>
            <w:tcW w:w="1548" w:type="dxa"/>
            <w:shd w:val="clear" w:color="000000" w:fill="FFFFFF"/>
            <w:vAlign w:val="center"/>
            <w:hideMark/>
          </w:tcPr>
          <w:p w:rsidR="0062667A" w:rsidRPr="0062667A" w:rsidRDefault="001C490B" w:rsidP="0062667A">
            <w:pPr>
              <w:spacing w:after="0" w:line="240" w:lineRule="auto"/>
              <w:ind w:firstLineChars="100" w:firstLine="180"/>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11.967.483,00</w:t>
            </w:r>
          </w:p>
        </w:tc>
        <w:tc>
          <w:tcPr>
            <w:tcW w:w="1548" w:type="dxa"/>
            <w:shd w:val="clear" w:color="000000" w:fill="FFFFFF"/>
            <w:vAlign w:val="center"/>
            <w:hideMark/>
          </w:tcPr>
          <w:p w:rsidR="0062667A" w:rsidRPr="0062667A" w:rsidRDefault="001C490B" w:rsidP="0062667A">
            <w:pPr>
              <w:spacing w:after="0" w:line="240" w:lineRule="auto"/>
              <w:ind w:firstLineChars="100" w:firstLine="180"/>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11.967.483,00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6.079.211,24</w:t>
            </w:r>
          </w:p>
        </w:tc>
        <w:tc>
          <w:tcPr>
            <w:tcW w:w="1067" w:type="dxa"/>
            <w:shd w:val="clear" w:color="000000" w:fill="FFFFFF"/>
            <w:vAlign w:val="center"/>
            <w:hideMark/>
          </w:tcPr>
          <w:p w:rsidR="0062667A" w:rsidRPr="0062667A" w:rsidRDefault="00C16EDA" w:rsidP="0062667A">
            <w:pPr>
              <w:spacing w:after="0" w:line="240" w:lineRule="auto"/>
              <w:ind w:firstLineChars="100" w:firstLine="180"/>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140,36</w:t>
            </w:r>
          </w:p>
        </w:tc>
        <w:tc>
          <w:tcPr>
            <w:tcW w:w="847" w:type="dxa"/>
            <w:shd w:val="clear" w:color="000000" w:fill="FFFFFF"/>
            <w:vAlign w:val="center"/>
            <w:hideMark/>
          </w:tcPr>
          <w:p w:rsidR="0062667A" w:rsidRPr="0062667A" w:rsidRDefault="00C16EDA" w:rsidP="0062667A">
            <w:pPr>
              <w:spacing w:after="0" w:line="240" w:lineRule="auto"/>
              <w:ind w:firstLineChars="100" w:firstLine="18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50,80</w:t>
            </w:r>
          </w:p>
        </w:tc>
      </w:tr>
      <w:tr w:rsidR="0062667A" w:rsidRPr="0062667A" w:rsidTr="001C490B">
        <w:trPr>
          <w:trHeight w:val="244"/>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68 Kazne, upravne mjere i ostali prihodi</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440,65</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37.826,00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37.826,00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1.748,91</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396,89</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4,62</w:t>
            </w:r>
          </w:p>
        </w:tc>
      </w:tr>
      <w:tr w:rsidR="0062667A" w:rsidRPr="0062667A" w:rsidTr="001C490B">
        <w:trPr>
          <w:trHeight w:val="244"/>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72 Prihodi od prodaje proizvedene dugotrajne imovine</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3.861,52</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6.636,00</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6.636,00</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650,53</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16,85</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9,8</w:t>
            </w:r>
          </w:p>
        </w:tc>
      </w:tr>
      <w:tr w:rsidR="0062667A" w:rsidRPr="0062667A" w:rsidTr="001C490B">
        <w:trPr>
          <w:trHeight w:val="244"/>
        </w:trPr>
        <w:tc>
          <w:tcPr>
            <w:tcW w:w="2586" w:type="dxa"/>
            <w:shd w:val="clear" w:color="000000" w:fill="FFFFFF"/>
            <w:vAlign w:val="bottom"/>
            <w:hideMark/>
          </w:tcPr>
          <w:p w:rsidR="0062667A" w:rsidRPr="0062667A" w:rsidRDefault="0062667A" w:rsidP="0062667A">
            <w:pPr>
              <w:spacing w:after="0" w:line="240" w:lineRule="auto"/>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84 Primici od zaduživanja</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59.436,65</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w:t>
            </w:r>
          </w:p>
        </w:tc>
        <w:tc>
          <w:tcPr>
            <w:tcW w:w="1548"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w:t>
            </w:r>
          </w:p>
        </w:tc>
        <w:tc>
          <w:tcPr>
            <w:tcW w:w="14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w:t>
            </w:r>
          </w:p>
        </w:tc>
        <w:tc>
          <w:tcPr>
            <w:tcW w:w="106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bCs/>
                <w:color w:val="000000"/>
                <w:sz w:val="18"/>
                <w:szCs w:val="18"/>
                <w:lang w:eastAsia="hr-HR"/>
              </w:rPr>
            </w:pPr>
            <w:r w:rsidRPr="0062667A">
              <w:rPr>
                <w:rFonts w:ascii="Arial" w:eastAsia="Times New Roman" w:hAnsi="Arial" w:cs="Arial"/>
                <w:bCs/>
                <w:color w:val="000000"/>
                <w:sz w:val="18"/>
                <w:szCs w:val="18"/>
                <w:lang w:eastAsia="hr-HR"/>
              </w:rPr>
              <w:t> </w:t>
            </w:r>
          </w:p>
        </w:tc>
        <w:tc>
          <w:tcPr>
            <w:tcW w:w="847"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 </w:t>
            </w:r>
          </w:p>
        </w:tc>
      </w:tr>
    </w:tbl>
    <w:p w:rsidR="0062667A" w:rsidRPr="0062667A" w:rsidRDefault="0062667A" w:rsidP="0062667A"/>
    <w:p w:rsidR="0062667A" w:rsidRPr="000C36FF" w:rsidRDefault="0062667A" w:rsidP="0062667A">
      <w:pPr>
        <w:ind w:left="-426"/>
        <w:rPr>
          <w:rFonts w:ascii="Times New Roman" w:hAnsi="Times New Roman" w:cs="Times New Roman"/>
          <w:b/>
        </w:rPr>
      </w:pPr>
      <w:r w:rsidRPr="000C36FF">
        <w:rPr>
          <w:rFonts w:ascii="Times New Roman" w:hAnsi="Times New Roman" w:cs="Times New Roman"/>
          <w:b/>
        </w:rPr>
        <w:t>63 -  Pomoći iz inozemstva i od subjekata unutar općeg proračuna</w:t>
      </w:r>
    </w:p>
    <w:p w:rsidR="001B6653" w:rsidRPr="000C36FF" w:rsidRDefault="0062667A" w:rsidP="001B6653">
      <w:pPr>
        <w:ind w:left="-426"/>
        <w:jc w:val="both"/>
        <w:rPr>
          <w:rFonts w:ascii="Times New Roman" w:hAnsi="Times New Roman" w:cs="Times New Roman"/>
        </w:rPr>
      </w:pPr>
      <w:r w:rsidRPr="000C36FF">
        <w:rPr>
          <w:rFonts w:ascii="Times New Roman" w:hAnsi="Times New Roman" w:cs="Times New Roman"/>
        </w:rPr>
        <w:t>Pomoći iz inozemstva i od subjekata unutar općeg proračuna planirane su u iznosu 3.103.351,00 eura, a ostvarene su u iznosu 736.625,78 eura što je 23,74% od planiranog i 86,44% manje od ist</w:t>
      </w:r>
      <w:r w:rsidR="001B6653" w:rsidRPr="000C36FF">
        <w:rPr>
          <w:rFonts w:ascii="Times New Roman" w:hAnsi="Times New Roman" w:cs="Times New Roman"/>
        </w:rPr>
        <w:t xml:space="preserve">og razdoblja prethodne godine. </w:t>
      </w:r>
    </w:p>
    <w:p w:rsidR="001B6653" w:rsidRPr="000C36FF" w:rsidRDefault="0062667A" w:rsidP="000319CC">
      <w:pPr>
        <w:ind w:left="-426"/>
        <w:jc w:val="both"/>
        <w:rPr>
          <w:rFonts w:ascii="Times New Roman" w:hAnsi="Times New Roman" w:cs="Times New Roman"/>
        </w:rPr>
      </w:pPr>
      <w:r w:rsidRPr="000C36FF">
        <w:rPr>
          <w:rFonts w:ascii="Times New Roman" w:hAnsi="Times New Roman" w:cs="Times New Roman"/>
          <w:b/>
          <w:i/>
        </w:rPr>
        <w:t>6341 –tekuće pomoći od izvanproračunskih korisnika</w:t>
      </w:r>
      <w:r w:rsidRPr="000C36FF">
        <w:rPr>
          <w:rFonts w:ascii="Times New Roman" w:hAnsi="Times New Roman" w:cs="Times New Roman"/>
        </w:rPr>
        <w:t xml:space="preserve"> – evidentiran prihod u iznosu 4.996,87 eura, a odnosi se na  dodijeljene pomoći HZZO-a za nagradu radnicima u sustavu zdravstva koji obavljaju poslove vezane za pružanje zdravstvene skrbi pacijentima oboljelim od bolesti COVID-19. Prethodne 2022. godine u istom razdoblju nemamo evidentiranih prihoda.</w:t>
      </w:r>
    </w:p>
    <w:p w:rsidR="001B6653" w:rsidRPr="000C36FF" w:rsidRDefault="001B6653" w:rsidP="001B6653">
      <w:pPr>
        <w:jc w:val="both"/>
        <w:rPr>
          <w:rFonts w:ascii="Times New Roman" w:hAnsi="Times New Roman" w:cs="Times New Roman"/>
        </w:rPr>
      </w:pPr>
      <w:r w:rsidRPr="000C36FF">
        <w:rPr>
          <w:rFonts w:ascii="Times New Roman" w:hAnsi="Times New Roman" w:cs="Times New Roman"/>
          <w:b/>
          <w:i/>
        </w:rPr>
        <w:t>636</w:t>
      </w:r>
      <w:r w:rsidRPr="000C36FF">
        <w:rPr>
          <w:rFonts w:ascii="Times New Roman" w:hAnsi="Times New Roman" w:cs="Times New Roman"/>
          <w:i/>
        </w:rPr>
        <w:t xml:space="preserve"> </w:t>
      </w:r>
      <w:r w:rsidR="0062667A" w:rsidRPr="000C36FF">
        <w:rPr>
          <w:rFonts w:ascii="Times New Roman" w:hAnsi="Times New Roman" w:cs="Times New Roman"/>
          <w:b/>
          <w:i/>
        </w:rPr>
        <w:t>– Pomoći proračunskim korisnicima iz proračuna koji im nije nadležan</w:t>
      </w:r>
      <w:r w:rsidR="0062667A" w:rsidRPr="000C36FF">
        <w:rPr>
          <w:rFonts w:ascii="Times New Roman" w:hAnsi="Times New Roman" w:cs="Times New Roman"/>
        </w:rPr>
        <w:t xml:space="preserve"> - evidentirano smanjenje za 92,6% ili za 976.477,15 eura u odnosu na </w:t>
      </w:r>
      <w:r w:rsidRPr="000C36FF">
        <w:rPr>
          <w:rFonts w:ascii="Times New Roman" w:hAnsi="Times New Roman" w:cs="Times New Roman"/>
        </w:rPr>
        <w:t>isto razdoblje prethodne godine</w:t>
      </w:r>
    </w:p>
    <w:p w:rsidR="0062667A" w:rsidRPr="000C36FF" w:rsidRDefault="0062667A" w:rsidP="001B6653">
      <w:pPr>
        <w:jc w:val="both"/>
        <w:rPr>
          <w:rFonts w:ascii="Times New Roman" w:hAnsi="Times New Roman" w:cs="Times New Roman"/>
        </w:rPr>
      </w:pPr>
      <w:r w:rsidRPr="000C36FF">
        <w:rPr>
          <w:rFonts w:ascii="Times New Roman" w:hAnsi="Times New Roman" w:cs="Times New Roman"/>
          <w:b/>
          <w:i/>
        </w:rPr>
        <w:t>6361 – tekuće pomoći proračunskim korisnicima iz proračuna koji im nije nadležan</w:t>
      </w:r>
      <w:r w:rsidRPr="000C36FF">
        <w:rPr>
          <w:rFonts w:ascii="Times New Roman" w:hAnsi="Times New Roman" w:cs="Times New Roman"/>
        </w:rPr>
        <w:t xml:space="preserve"> -  ostvarene u iznosu 78.240,00 eura što je manje za 28,60% u odnosu na isto razdoblje prethodne godine, a odnose se na doznačena sredstva Varaždinske županije zaprimljena od Hrvatskog zavoda za zdravstveno osiguranje za</w:t>
      </w:r>
      <w:r w:rsidRPr="0062667A">
        <w:t xml:space="preserve"> sanaciju </w:t>
      </w:r>
      <w:r w:rsidRPr="000C36FF">
        <w:rPr>
          <w:rFonts w:ascii="Times New Roman" w:hAnsi="Times New Roman" w:cs="Times New Roman"/>
        </w:rPr>
        <w:t xml:space="preserve">lijekova i potrošnog medicinskog materijala. U istom razdoblju prethodne godine doznačena su sredstva za </w:t>
      </w:r>
      <w:r w:rsidRPr="000C36FF">
        <w:rPr>
          <w:rFonts w:ascii="Times New Roman" w:hAnsi="Times New Roman" w:cs="Times New Roman"/>
        </w:rPr>
        <w:lastRenderedPageBreak/>
        <w:t>podmirenje dospjelih obveza prema dobavljačima lijekova i potrošnog medicinskog materijala u iznosu od 44.868,14 eura te pomoći za isplatu plaća za prekovremeni rad u iznosu 64.722,98 eura.</w:t>
      </w: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i/>
        </w:rPr>
        <w:t>6362 – Kapitalne pomoći od izvanproračunskih korisnika</w:t>
      </w:r>
      <w:r w:rsidRPr="000C36FF">
        <w:rPr>
          <w:rFonts w:ascii="Times New Roman" w:hAnsi="Times New Roman" w:cs="Times New Roman"/>
        </w:rPr>
        <w:t xml:space="preserve"> – u prvoj polovici 2023. godine nisu primljene navedene pomoći, dok je u istom razdoblju prethodne 2022. godine evidentiran iznos od 945.126,03 eura koji se odnosi na dobivene kapitalne pomoći Ministarstva zdravstva za izgradnju novog Nacionalno rehabilitacijskog centra za osobe s ozljedama i oštećenjima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w:t>
      </w:r>
    </w:p>
    <w:p w:rsidR="0062667A" w:rsidRPr="000C36FF" w:rsidRDefault="0062667A" w:rsidP="0062667A">
      <w:pPr>
        <w:contextualSpacing/>
        <w:jc w:val="both"/>
        <w:rPr>
          <w:rFonts w:ascii="Times New Roman" w:hAnsi="Times New Roman" w:cs="Times New Roman"/>
        </w:rPr>
      </w:pP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rPr>
        <w:t>638 – pomoći temeljem prijenosa EU sredstava</w:t>
      </w:r>
      <w:r w:rsidRPr="000C36FF">
        <w:rPr>
          <w:rFonts w:ascii="Times New Roman" w:hAnsi="Times New Roman" w:cs="Times New Roman"/>
        </w:rPr>
        <w:t xml:space="preserve"> – evidentirano smanjenje za 85,10% ili za 3.723.078,26 eura.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6381 – tekuće pomoći temeljem prijenosa EU sredstava</w:t>
      </w:r>
      <w:r w:rsidRPr="000C36FF">
        <w:rPr>
          <w:rFonts w:ascii="Times New Roman" w:hAnsi="Times New Roman" w:cs="Times New Roman"/>
        </w:rPr>
        <w:t xml:space="preserve"> – iznose 61.216,72 eura i manje su za 47,30% ili za 55.044,90 eura, a odnose se na sufinanciranje plaća pripravnika medicinske struke. U 2022. godini bilo je više pripravnika.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6382 – Kapitalne pomoći temeljem prijenosa EU sredstava</w:t>
      </w:r>
      <w:r w:rsidRPr="000C36FF">
        <w:rPr>
          <w:rFonts w:ascii="Times New Roman" w:hAnsi="Times New Roman" w:cs="Times New Roman"/>
        </w:rPr>
        <w:t xml:space="preserve"> – iznose 592.172,19 eura i manje su u odnosu na isto razdoblje prethodne godine za 86,10% ili 3.668.033,36 eura, a odnose se na refundirana sredstva Iz fondova EU za opremanje novog Nacionalno rehabilitacijskog centra za osobe s bolestima i oštećenjima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 u iznosu 592.172,19 eura (za grupu 1., 2. i 3.), dok su u  istom razdoblju poslovne 2022. godine iz fondova EU evidentirani veći prihodi na ime građevinsko-obrtničkih radova na izgradnji novog Nacionalno rehabilitacijskog centra za osobe s bolestima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 – zahtjevi za refundacijom sredstava potraživani svaki mjesec budući da su radovi bili u  kontinuitetu. </w:t>
      </w: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rPr>
        <w:t>639 – prijenosi između proračunskih korisnika istog proračuna</w:t>
      </w:r>
      <w:r w:rsidRPr="000C36FF">
        <w:rPr>
          <w:rFonts w:ascii="Times New Roman" w:hAnsi="Times New Roman" w:cs="Times New Roman"/>
        </w:rPr>
        <w:t xml:space="preserve"> – u poslovnoj 2022. godini dobivene pomoći od Hrvatskog zavoda za javno zdravstvo za provođenje cijepljenja protiv COVID-19. Isto nije evidentirano u 2023. godini.</w:t>
      </w:r>
    </w:p>
    <w:p w:rsidR="0062667A" w:rsidRPr="000C36FF" w:rsidRDefault="0062667A" w:rsidP="0062667A">
      <w:pPr>
        <w:jc w:val="both"/>
        <w:rPr>
          <w:rFonts w:ascii="Times New Roman" w:hAnsi="Times New Roman" w:cs="Times New Roman"/>
        </w:rPr>
      </w:pP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64 – Prihodi od imovine</w:t>
      </w:r>
      <w:r w:rsidRPr="000C36FF">
        <w:rPr>
          <w:rFonts w:ascii="Times New Roman" w:hAnsi="Times New Roman" w:cs="Times New Roman"/>
          <w:b/>
        </w:rPr>
        <w:t xml:space="preserve"> </w:t>
      </w:r>
      <w:r w:rsidRPr="000C36FF">
        <w:rPr>
          <w:rFonts w:ascii="Times New Roman" w:hAnsi="Times New Roman" w:cs="Times New Roman"/>
        </w:rPr>
        <w:t>ostvareni u iznosu 248,85 eura, manji su u odnosu na isto razdoblje prethodne godine za 63,6% ili za 434,65 eura.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6413 – Kamate na oročena sredstva i depozite po viđenju</w:t>
      </w:r>
      <w:r w:rsidRPr="000C36FF">
        <w:rPr>
          <w:rFonts w:ascii="Times New Roman" w:hAnsi="Times New Roman" w:cs="Times New Roman"/>
        </w:rPr>
        <w:t xml:space="preserve"> - naplaćen je veći iznos na ime kamata po žiro računima i računu Cash </w:t>
      </w:r>
      <w:proofErr w:type="spellStart"/>
      <w:r w:rsidRPr="000C36FF">
        <w:rPr>
          <w:rFonts w:ascii="Times New Roman" w:hAnsi="Times New Roman" w:cs="Times New Roman"/>
        </w:rPr>
        <w:t>poola</w:t>
      </w:r>
      <w:proofErr w:type="spellEnd"/>
      <w:r w:rsidRPr="000C36FF">
        <w:rPr>
          <w:rFonts w:ascii="Times New Roman" w:hAnsi="Times New Roman" w:cs="Times New Roman"/>
        </w:rPr>
        <w:t xml:space="preserve"> za 9,6% ili za 7,43 eura  (bolnica koristi odobreni Cash </w:t>
      </w:r>
      <w:proofErr w:type="spellStart"/>
      <w:r w:rsidRPr="000C36FF">
        <w:rPr>
          <w:rFonts w:ascii="Times New Roman" w:hAnsi="Times New Roman" w:cs="Times New Roman"/>
        </w:rPr>
        <w:t>pool</w:t>
      </w:r>
      <w:proofErr w:type="spellEnd"/>
      <w:r w:rsidRPr="000C36FF">
        <w:rPr>
          <w:rFonts w:ascii="Times New Roman" w:hAnsi="Times New Roman" w:cs="Times New Roman"/>
        </w:rPr>
        <w:t xml:space="preserve"> skoro do puno odobrenog iznosa te je prihod na ime kamata stoga znatno manji).</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6414 – prihodi od zateznih kamata</w:t>
      </w:r>
      <w:r w:rsidRPr="000C36FF">
        <w:rPr>
          <w:rFonts w:ascii="Times New Roman" w:hAnsi="Times New Roman" w:cs="Times New Roman"/>
        </w:rPr>
        <w:t xml:space="preserve"> -  evidentirano manje naplaćenih prihoda na ime kamata po sudskim sporovima za 72,9% ili za 442,08 eura.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65 – Prihodi od upravnih i administrativnih pristojbi, pristojbi po posebnim propisima i naknada</w:t>
      </w:r>
      <w:r w:rsidRPr="000C36FF">
        <w:rPr>
          <w:rFonts w:ascii="Times New Roman" w:hAnsi="Times New Roman" w:cs="Times New Roman"/>
        </w:rPr>
        <w:t xml:space="preserve"> – ostvareni su u iznosu 1.086.546,19 eura (prihodi od dopunskog osiguranja u iznosu 956.502,94 eura, prihodi od privatnih osiguravatelja u iznosu 129.868,46 eura te prihodi od naplaćenih šteta u iznosu 174,79 eura), veći su u odnosu na isto razdoblje prethodne 2022. godine za 34,8% ili za 280.679,32 eura. Rezultat povećanja je bolje punjenje bolničkih kapaciteta što utječe i na ostvarenje boljih prihoda. U istom razdoblju prethodne godine aktualna situacija vezana uz </w:t>
      </w:r>
      <w:proofErr w:type="spellStart"/>
      <w:r w:rsidRPr="000C36FF">
        <w:rPr>
          <w:rFonts w:ascii="Times New Roman" w:hAnsi="Times New Roman" w:cs="Times New Roman"/>
        </w:rPr>
        <w:t>pandemiju</w:t>
      </w:r>
      <w:proofErr w:type="spellEnd"/>
      <w:r w:rsidRPr="000C36FF">
        <w:rPr>
          <w:rFonts w:ascii="Times New Roman" w:hAnsi="Times New Roman" w:cs="Times New Roman"/>
        </w:rPr>
        <w:t xml:space="preserve"> COVID-19 uvelike je utjecala na punjenje kapaciteta, korisnici zbog straha od eventualne zaraze odbijali ponuđene termine za rehabilitaciju. Također, bitno je napomenuti da je od 01.04.2023. godine povećan maksimalan iznos participacije s 265,45 eura na 530,89 eura što je uvelike utjecalo na povećanje navedenih prihoda.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66 – Prihodi od prodaje proizvoda i robe te pruženih usluga, prihodi od donacija te povrati po protestiranim jamstvima</w:t>
      </w:r>
      <w:r w:rsidRPr="000C36FF">
        <w:rPr>
          <w:rFonts w:ascii="Times New Roman" w:hAnsi="Times New Roman" w:cs="Times New Roman"/>
          <w:b/>
        </w:rPr>
        <w:t xml:space="preserve"> – </w:t>
      </w:r>
      <w:r w:rsidRPr="000C36FF">
        <w:rPr>
          <w:rFonts w:ascii="Times New Roman" w:hAnsi="Times New Roman" w:cs="Times New Roman"/>
        </w:rPr>
        <w:t xml:space="preserve">ostvareni su u iznosu 1.970.543,64 eura i veći  su za 40,00% ili za 562.976,23 eura u odnosu na isto razdoblje prethodne godine. </w:t>
      </w: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i/>
        </w:rPr>
        <w:t>661 – prihodi od prodaje proizvoda i robe te pruženih usluga</w:t>
      </w:r>
      <w:r w:rsidRPr="000C36FF">
        <w:rPr>
          <w:rFonts w:ascii="Times New Roman" w:hAnsi="Times New Roman" w:cs="Times New Roman"/>
        </w:rPr>
        <w:t xml:space="preserve"> – evidentirano povećanje za 40,5% ili za 562.605,71 eura.</w:t>
      </w: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i/>
        </w:rPr>
        <w:lastRenderedPageBreak/>
        <w:t>6614 – Prihodi od prodaje proizvoda i robe</w:t>
      </w:r>
      <w:r w:rsidRPr="000C36FF">
        <w:rPr>
          <w:rFonts w:ascii="Times New Roman" w:hAnsi="Times New Roman" w:cs="Times New Roman"/>
        </w:rPr>
        <w:t xml:space="preserve"> veći su za 10,60% ili za 36.364,74 eura u odnosu na isto razdoblje prethodne godine. U promatranom razdoblju prethodne godine situacija vezana uz COVID-19  djelomično je imala utjecaj  na manje ostvarenje vlastitih prihoda od tržišta (posebice u prva dva mjeseca).</w:t>
      </w: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i/>
        </w:rPr>
        <w:t>6615 – Prihodi od pruženih usluga</w:t>
      </w:r>
      <w:r w:rsidRPr="000C36FF">
        <w:rPr>
          <w:rFonts w:ascii="Times New Roman" w:hAnsi="Times New Roman" w:cs="Times New Roman"/>
        </w:rPr>
        <w:t xml:space="preserve"> – veću su za 50,30% ili za 526.240,97 eura u odnosu na isto razdoblje prethodne godine. Bolnica je s 27.02.2022. godine mobilizirana radi organizacije prihvatnog centra i smještaja za raseljene osobe pristigle iz područja Ukrajine zahvaćenih oružanim sukobima te je počevši od drugog kvartala počela ostvarivati veće prihode. U poslovnoj 2023. godini prihodi od tržišta rastu u svim segmentima pružanja usluga.</w:t>
      </w:r>
    </w:p>
    <w:p w:rsidR="0062667A" w:rsidRPr="000C36FF" w:rsidRDefault="0062667A" w:rsidP="0062667A">
      <w:pPr>
        <w:contextualSpacing/>
        <w:jc w:val="both"/>
        <w:rPr>
          <w:rFonts w:ascii="Times New Roman" w:hAnsi="Times New Roman" w:cs="Times New Roman"/>
        </w:rPr>
      </w:pPr>
    </w:p>
    <w:p w:rsidR="0062667A" w:rsidRPr="000C36FF" w:rsidRDefault="0062667A" w:rsidP="0062667A">
      <w:pPr>
        <w:contextualSpacing/>
        <w:jc w:val="both"/>
        <w:rPr>
          <w:rFonts w:ascii="Times New Roman" w:hAnsi="Times New Roman" w:cs="Times New Roman"/>
        </w:rPr>
      </w:pPr>
      <w:r w:rsidRPr="000C36FF">
        <w:rPr>
          <w:rFonts w:ascii="Times New Roman" w:hAnsi="Times New Roman" w:cs="Times New Roman"/>
          <w:b/>
          <w:i/>
        </w:rPr>
        <w:t>663 – donacije od pravnih i fizičkih osoba izvan općeg proračuna i povrat donacija po protestiranim jamstvima</w:t>
      </w:r>
      <w:r w:rsidRPr="000C36FF">
        <w:rPr>
          <w:rFonts w:ascii="Times New Roman" w:hAnsi="Times New Roman" w:cs="Times New Roman"/>
        </w:rPr>
        <w:t xml:space="preserve"> – bilježe povećanje za 2,1% ili za 370,52 eura, prethodne godine dobiveno više donacija za raseljene osobe iz područja Ukrajine (MUP ravnateljstvo za robne zalihe, Dukat), dok je u poslovnoj godini evidentirano više donacija za stručna putovanja.</w:t>
      </w:r>
    </w:p>
    <w:p w:rsidR="0062667A" w:rsidRPr="000C36FF" w:rsidRDefault="0062667A" w:rsidP="0062667A">
      <w:pPr>
        <w:jc w:val="both"/>
        <w:rPr>
          <w:rFonts w:ascii="Times New Roman" w:eastAsia="Times New Roman" w:hAnsi="Times New Roman" w:cs="Times New Roman"/>
          <w:bCs/>
          <w:color w:val="000000"/>
          <w:lang w:eastAsia="hr-HR"/>
        </w:rPr>
      </w:pPr>
    </w:p>
    <w:p w:rsidR="0062667A" w:rsidRPr="000C36FF" w:rsidRDefault="0062667A" w:rsidP="0062667A">
      <w:pPr>
        <w:ind w:left="-426"/>
        <w:jc w:val="both"/>
        <w:rPr>
          <w:rFonts w:ascii="Times New Roman" w:eastAsia="Times New Roman" w:hAnsi="Times New Roman" w:cs="Times New Roman"/>
          <w:b/>
          <w:bCs/>
          <w:color w:val="000000"/>
          <w:lang w:eastAsia="hr-HR"/>
        </w:rPr>
      </w:pPr>
      <w:r w:rsidRPr="000C36FF">
        <w:rPr>
          <w:rFonts w:ascii="Times New Roman" w:hAnsi="Times New Roman" w:cs="Times New Roman"/>
          <w:b/>
          <w:i/>
        </w:rPr>
        <w:t xml:space="preserve">67 -  </w:t>
      </w:r>
      <w:r w:rsidRPr="000C36FF">
        <w:rPr>
          <w:rFonts w:ascii="Times New Roman" w:eastAsia="Times New Roman" w:hAnsi="Times New Roman" w:cs="Times New Roman"/>
          <w:b/>
          <w:bCs/>
          <w:i/>
          <w:color w:val="000000"/>
          <w:lang w:eastAsia="hr-HR"/>
        </w:rPr>
        <w:t>Prihodi iz nadležnog proračuna i od HZZO-a temeljem ugovornih obveza</w:t>
      </w:r>
      <w:r w:rsidRPr="000C36FF">
        <w:rPr>
          <w:rFonts w:ascii="Times New Roman" w:hAnsi="Times New Roman" w:cs="Times New Roman"/>
        </w:rPr>
        <w:t xml:space="preserve">– ostvareni su u ukupnom iznosu od 6.079.211,24 eura, veći su u odnosu na isto razdoblje prethodne 2022. godine za 40,4% ili za 1.748.048,56 eura.  </w:t>
      </w:r>
    </w:p>
    <w:p w:rsidR="0062667A" w:rsidRPr="000C36FF" w:rsidRDefault="0062667A" w:rsidP="0062667A">
      <w:pPr>
        <w:ind w:left="-426" w:firstLine="426"/>
        <w:jc w:val="both"/>
        <w:rPr>
          <w:rFonts w:ascii="Times New Roman" w:hAnsi="Times New Roman" w:cs="Times New Roman"/>
        </w:rPr>
      </w:pPr>
      <w:r w:rsidRPr="000C36FF">
        <w:rPr>
          <w:rFonts w:ascii="Times New Roman" w:hAnsi="Times New Roman" w:cs="Times New Roman"/>
          <w:b/>
          <w:i/>
        </w:rPr>
        <w:t>671 –</w:t>
      </w:r>
      <w:r w:rsidRPr="000C36FF">
        <w:rPr>
          <w:rFonts w:ascii="Times New Roman" w:hAnsi="Times New Roman" w:cs="Times New Roman"/>
        </w:rPr>
        <w:t xml:space="preserve"> </w:t>
      </w:r>
      <w:r w:rsidRPr="000C36FF">
        <w:rPr>
          <w:rFonts w:ascii="Times New Roman" w:hAnsi="Times New Roman" w:cs="Times New Roman"/>
          <w:b/>
          <w:i/>
        </w:rPr>
        <w:t>prihodi iz nadležnog proračuna za financiranje redovne djelatnosti proračunskih korisnika -(Decentralizirana sredstva)</w:t>
      </w:r>
      <w:r w:rsidRPr="000C36FF">
        <w:rPr>
          <w:rFonts w:ascii="Times New Roman" w:hAnsi="Times New Roman" w:cs="Times New Roman"/>
        </w:rPr>
        <w:t xml:space="preserve"> </w:t>
      </w:r>
      <w:proofErr w:type="spellStart"/>
      <w:r w:rsidRPr="000C36FF">
        <w:rPr>
          <w:rFonts w:ascii="Times New Roman" w:hAnsi="Times New Roman" w:cs="Times New Roman"/>
        </w:rPr>
        <w:t>oprihodovana</w:t>
      </w:r>
      <w:proofErr w:type="spellEnd"/>
      <w:r w:rsidRPr="000C36FF">
        <w:rPr>
          <w:rFonts w:ascii="Times New Roman" w:hAnsi="Times New Roman" w:cs="Times New Roman"/>
        </w:rPr>
        <w:t xml:space="preserve"> su u iznosu 322.594,40 eura, što je više za 102,7% iz razloga što su provedeni svi postupci nabave te je za veliku većinu opreme zatražena refundacija. Što se tiče refundacije izdataka za financijsku imovinu i otplatu zajmova, poslovne su godine na naplatu dospjele obveze po svim kreditima tako da je i refundacija istih veća.</w:t>
      </w:r>
    </w:p>
    <w:p w:rsidR="0062667A" w:rsidRPr="000C36FF" w:rsidRDefault="0062667A" w:rsidP="0062667A">
      <w:pPr>
        <w:ind w:left="-426" w:firstLine="426"/>
        <w:jc w:val="both"/>
        <w:rPr>
          <w:rFonts w:ascii="Times New Roman" w:hAnsi="Times New Roman" w:cs="Times New Roman"/>
        </w:rPr>
      </w:pPr>
      <w:r w:rsidRPr="000C36FF">
        <w:rPr>
          <w:rFonts w:ascii="Times New Roman" w:hAnsi="Times New Roman" w:cs="Times New Roman"/>
          <w:b/>
          <w:i/>
        </w:rPr>
        <w:t xml:space="preserve">6711 – Prihodi iz nadležnog proračuna za financiranje rashoda poslovanja – </w:t>
      </w:r>
      <w:r w:rsidRPr="000C36FF">
        <w:rPr>
          <w:rFonts w:ascii="Times New Roman" w:hAnsi="Times New Roman" w:cs="Times New Roman"/>
        </w:rPr>
        <w:t>u istom razdoblju prethodne godine ostvareni su u iznosu 13.272,28 eura, a odnosili su se na razne usluge tekućeg i investicijskog održavanja na nivou bolnice dok u 2023. godini nema prihoda za navedeno financiranje.</w:t>
      </w:r>
    </w:p>
    <w:p w:rsidR="0062667A" w:rsidRPr="000C36FF" w:rsidRDefault="0062667A" w:rsidP="0062667A">
      <w:pPr>
        <w:ind w:left="-426" w:firstLine="426"/>
        <w:jc w:val="both"/>
        <w:rPr>
          <w:rFonts w:ascii="Times New Roman" w:hAnsi="Times New Roman" w:cs="Times New Roman"/>
        </w:rPr>
      </w:pPr>
      <w:r w:rsidRPr="000C36FF">
        <w:rPr>
          <w:rFonts w:ascii="Times New Roman" w:hAnsi="Times New Roman" w:cs="Times New Roman"/>
          <w:b/>
          <w:i/>
        </w:rPr>
        <w:t>6712 -</w:t>
      </w:r>
      <w:r w:rsidRPr="000C36FF">
        <w:rPr>
          <w:rFonts w:ascii="Times New Roman" w:eastAsia="Times New Roman" w:hAnsi="Times New Roman" w:cs="Times New Roman"/>
          <w:b/>
          <w:bCs/>
          <w:color w:val="000000"/>
          <w:lang w:eastAsia="hr-HR"/>
        </w:rPr>
        <w:t xml:space="preserve"> </w:t>
      </w:r>
      <w:r w:rsidRPr="000C36FF">
        <w:rPr>
          <w:rFonts w:ascii="Times New Roman" w:hAnsi="Times New Roman" w:cs="Times New Roman"/>
          <w:b/>
          <w:i/>
        </w:rPr>
        <w:t xml:space="preserve">Prihodi iz nadležnog proračuna za financiranje rashoda za nabavu nefinancijske imovine – </w:t>
      </w:r>
      <w:r w:rsidRPr="000C36FF">
        <w:rPr>
          <w:rFonts w:ascii="Times New Roman" w:hAnsi="Times New Roman" w:cs="Times New Roman"/>
        </w:rPr>
        <w:t>iznose 98.663,31 eura i veći su za 4,7% ili 4.463,96 eura u odnosu na isto razdoblje prethodne godine. Odnose se na nabavu razne medicinske opreme.</w:t>
      </w:r>
    </w:p>
    <w:p w:rsidR="0062667A" w:rsidRPr="000C36FF" w:rsidRDefault="0062667A" w:rsidP="0062667A">
      <w:pPr>
        <w:ind w:left="-426" w:firstLine="426"/>
        <w:jc w:val="both"/>
        <w:rPr>
          <w:rFonts w:ascii="Times New Roman" w:hAnsi="Times New Roman" w:cs="Times New Roman"/>
        </w:rPr>
      </w:pPr>
      <w:r w:rsidRPr="000C36FF">
        <w:rPr>
          <w:rFonts w:ascii="Times New Roman" w:hAnsi="Times New Roman" w:cs="Times New Roman"/>
          <w:b/>
          <w:i/>
        </w:rPr>
        <w:t>6714 -</w:t>
      </w:r>
      <w:r w:rsidRPr="000C36FF">
        <w:rPr>
          <w:rFonts w:ascii="Times New Roman" w:hAnsi="Times New Roman" w:cs="Times New Roman"/>
          <w:b/>
        </w:rPr>
        <w:t xml:space="preserve">  </w:t>
      </w:r>
      <w:r w:rsidRPr="000C36FF">
        <w:rPr>
          <w:rFonts w:ascii="Times New Roman" w:hAnsi="Times New Roman" w:cs="Times New Roman"/>
          <w:b/>
          <w:i/>
        </w:rPr>
        <w:t>Prihodi iz nadležnog proračuna za financiranje izdataka za financijsku imovinu i otplatu zajmova</w:t>
      </w:r>
      <w:r w:rsidRPr="000C36FF">
        <w:rPr>
          <w:rFonts w:ascii="Times New Roman" w:hAnsi="Times New Roman" w:cs="Times New Roman"/>
          <w:i/>
        </w:rPr>
        <w:t xml:space="preserve"> – </w:t>
      </w:r>
      <w:r w:rsidRPr="000C36FF">
        <w:rPr>
          <w:rFonts w:ascii="Times New Roman" w:hAnsi="Times New Roman" w:cs="Times New Roman"/>
        </w:rPr>
        <w:t>iznose 223.931,09 eura i veći su u odnosu na prethodnu godinu za 333,50% ili 172.278,10 eura. Ove poslovne godine na naplatu su dospjele obveze po svim kreditima tako da je i refundacija istih veća, a odnose se na refundaciju sredstava po dugoročnim kreditima HBOR-a i Zagrebačke banke za energetsku obnovu objekata Bolnice.</w:t>
      </w:r>
    </w:p>
    <w:p w:rsidR="0062667A" w:rsidRPr="000C36FF" w:rsidRDefault="0062667A" w:rsidP="0062667A">
      <w:pPr>
        <w:ind w:left="-426" w:firstLine="426"/>
        <w:jc w:val="both"/>
        <w:rPr>
          <w:rFonts w:ascii="Times New Roman" w:hAnsi="Times New Roman" w:cs="Times New Roman"/>
        </w:rPr>
      </w:pPr>
      <w:r w:rsidRPr="000C36FF">
        <w:rPr>
          <w:rFonts w:ascii="Times New Roman" w:hAnsi="Times New Roman" w:cs="Times New Roman"/>
          <w:b/>
          <w:i/>
        </w:rPr>
        <w:t>673 - prihodi od HZZO-a na temelju ugovornih obveza</w:t>
      </w:r>
      <w:r w:rsidRPr="000C36FF">
        <w:rPr>
          <w:rFonts w:ascii="Times New Roman" w:hAnsi="Times New Roman" w:cs="Times New Roman"/>
        </w:rPr>
        <w:t xml:space="preserve"> - </w:t>
      </w:r>
      <w:proofErr w:type="spellStart"/>
      <w:r w:rsidRPr="000C36FF">
        <w:rPr>
          <w:rFonts w:ascii="Times New Roman" w:hAnsi="Times New Roman" w:cs="Times New Roman"/>
        </w:rPr>
        <w:t>oprihodovani</w:t>
      </w:r>
      <w:proofErr w:type="spellEnd"/>
      <w:r w:rsidRPr="000C36FF">
        <w:rPr>
          <w:rFonts w:ascii="Times New Roman" w:hAnsi="Times New Roman" w:cs="Times New Roman"/>
        </w:rPr>
        <w:t xml:space="preserve"> su u većem iznosu u odnosu na isto razdoblje poslovne 2022. godine za 38,00% ili za 1.584.578,78 eura. Spomenuto povećanje prihoda od HZZO-a rezultat je boljeg punjenja bolničkih kapaciteta što direktno utječe na ostvarenje boljih prihoda/veće izvršenje limita. Limitirana sredstva su u poslovnoj godini korigirana/povećavana tri puta i trenutno maksimalni mjesečni iznos sredstava iznosi 1.069.694,56 eura (u prihode se priznaje stvaran iznos izvršenja, a za iznos neizvršenja zadužuju se obveze za manje izvršen rad). </w:t>
      </w: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b/>
          <w:i/>
        </w:rPr>
        <w:t>68 – Kazne, upravne mjere i ostali prihodi</w:t>
      </w:r>
      <w:r w:rsidRPr="000C36FF">
        <w:rPr>
          <w:rFonts w:ascii="Times New Roman" w:hAnsi="Times New Roman" w:cs="Times New Roman"/>
        </w:rPr>
        <w:t xml:space="preserve"> – evidentirano povećanje za 296,9% ili za 1.308,26 eura u odnosu na isto razdoblje prethodne godine. Ostvarenje većih prihoda rezultat je naknadno odobrenih popusta. U poslovnoj godini evidentirani naknadno odobreni popusti od dobavljača Ina d.d. zbog usklađenja prodajnih cijena UNP- propan, butan smjese za spremnike temeljem uredbe Vlade RH o utvrđivanju najviših maloprodajnih cijena naftnih derivata.</w:t>
      </w: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b/>
          <w:i/>
        </w:rPr>
        <w:lastRenderedPageBreak/>
        <w:t>72 – Prihod od prodaje građevinskih objekata</w:t>
      </w:r>
      <w:r w:rsidRPr="000C36FF">
        <w:rPr>
          <w:rFonts w:ascii="Times New Roman" w:hAnsi="Times New Roman" w:cs="Times New Roman"/>
        </w:rPr>
        <w:t xml:space="preserve"> – manji za 83,20% ili za 3.210,00 eura u odnosu na isto razdoblje prethodne godine, a odnose se na prihode nad kojima postoji stanarsko pravo – veći broj stanova otplaćen prethodnih godina, dio i tijekom poslovne 2023. godine.</w:t>
      </w: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b/>
          <w:i/>
        </w:rPr>
        <w:t>84 – Primici od zaduživanja</w:t>
      </w:r>
      <w:r w:rsidRPr="000C36FF">
        <w:rPr>
          <w:rFonts w:ascii="Times New Roman" w:hAnsi="Times New Roman" w:cs="Times New Roman"/>
        </w:rPr>
        <w:t xml:space="preserve"> – nemamo evidentiranih primitaka u poslovnoj 2023. godini, dok je u istom razdoblju prethodne godine iskazan iznos koji se odnosio na korištenje kratkoročnog kredita (Cash </w:t>
      </w:r>
      <w:proofErr w:type="spellStart"/>
      <w:r w:rsidRPr="000C36FF">
        <w:rPr>
          <w:rFonts w:ascii="Times New Roman" w:hAnsi="Times New Roman" w:cs="Times New Roman"/>
        </w:rPr>
        <w:t>pool</w:t>
      </w:r>
      <w:proofErr w:type="spellEnd"/>
      <w:r w:rsidRPr="000C36FF">
        <w:rPr>
          <w:rFonts w:ascii="Times New Roman" w:hAnsi="Times New Roman" w:cs="Times New Roman"/>
        </w:rPr>
        <w:t>), a za koji je naknadno utvrđeno da nije sukladan odredbama čl. 78. Pravilnika o proračunskom računovodstvu i računskom planu, odnosno za primljene kratkoročne kredite i zajmove koji se vraćaju u istoj godini evidentiraju se isključivo odobrenjem odgovarajućeg osnovnog računa skupine 26 i zaduženjem računa novčanih sredstava, a ne iskazuju se pod primitke. Isti je korigiran u mjesecu srpnju.</w:t>
      </w:r>
    </w:p>
    <w:p w:rsidR="0062667A" w:rsidRDefault="0062667A"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ED6C54" w:rsidRDefault="00ED6C54" w:rsidP="0062667A">
      <w:pPr>
        <w:ind w:left="-426"/>
        <w:jc w:val="both"/>
      </w:pPr>
    </w:p>
    <w:p w:rsidR="000319CC" w:rsidRDefault="000319CC" w:rsidP="0062667A">
      <w:pPr>
        <w:ind w:left="-426"/>
        <w:jc w:val="both"/>
      </w:pPr>
    </w:p>
    <w:p w:rsidR="000319CC" w:rsidRDefault="000319CC" w:rsidP="0062667A">
      <w:pPr>
        <w:ind w:left="-426"/>
        <w:jc w:val="both"/>
      </w:pPr>
    </w:p>
    <w:p w:rsidR="000319CC" w:rsidRDefault="000319CC" w:rsidP="0062667A">
      <w:pPr>
        <w:ind w:left="-426"/>
        <w:jc w:val="both"/>
      </w:pPr>
    </w:p>
    <w:p w:rsidR="000319CC" w:rsidRDefault="000319CC" w:rsidP="0062667A">
      <w:pPr>
        <w:ind w:left="-426"/>
        <w:jc w:val="both"/>
      </w:pPr>
    </w:p>
    <w:p w:rsidR="00ED6C54" w:rsidRPr="00ED6C54" w:rsidRDefault="0062667A" w:rsidP="0062667A">
      <w:pPr>
        <w:keepNext/>
        <w:keepLines/>
        <w:spacing w:before="240" w:after="0"/>
        <w:outlineLvl w:val="0"/>
        <w:rPr>
          <w:rFonts w:asciiTheme="majorHAnsi" w:eastAsiaTheme="majorEastAsia" w:hAnsiTheme="majorHAnsi" w:cstheme="majorBidi"/>
          <w:color w:val="2E74B5" w:themeColor="accent1" w:themeShade="BF"/>
          <w:sz w:val="26"/>
          <w:szCs w:val="26"/>
        </w:rPr>
      </w:pPr>
      <w:r w:rsidRPr="00ED6C54">
        <w:rPr>
          <w:rStyle w:val="Naslov2Char"/>
        </w:rPr>
        <w:lastRenderedPageBreak/>
        <w:t>Izvršenje rashoda i izdataka za razdoblje 01.01.-30.06.2023. godine</w:t>
      </w:r>
    </w:p>
    <w:tbl>
      <w:tblPr>
        <w:tblW w:w="106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549"/>
        <w:gridCol w:w="1549"/>
        <w:gridCol w:w="1549"/>
        <w:gridCol w:w="1549"/>
        <w:gridCol w:w="948"/>
        <w:gridCol w:w="1054"/>
      </w:tblGrid>
      <w:tr w:rsidR="0062667A" w:rsidRPr="0062667A" w:rsidTr="00B7649B">
        <w:trPr>
          <w:trHeight w:val="596"/>
        </w:trPr>
        <w:tc>
          <w:tcPr>
            <w:tcW w:w="2434"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Oznaka</w:t>
            </w:r>
          </w:p>
        </w:tc>
        <w:tc>
          <w:tcPr>
            <w:tcW w:w="1549"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xml:space="preserve">Ostvarenje </w:t>
            </w:r>
            <w:proofErr w:type="spellStart"/>
            <w:r w:rsidRPr="0062667A">
              <w:rPr>
                <w:rFonts w:ascii="Arial" w:eastAsia="Times New Roman" w:hAnsi="Arial" w:cs="Arial"/>
                <w:b/>
                <w:bCs/>
                <w:color w:val="000000"/>
                <w:sz w:val="18"/>
                <w:szCs w:val="18"/>
                <w:lang w:eastAsia="hr-HR"/>
              </w:rPr>
              <w:t>preth</w:t>
            </w:r>
            <w:proofErr w:type="spellEnd"/>
            <w:r w:rsidRPr="0062667A">
              <w:rPr>
                <w:rFonts w:ascii="Arial" w:eastAsia="Times New Roman" w:hAnsi="Arial" w:cs="Arial"/>
                <w:b/>
                <w:bCs/>
                <w:color w:val="000000"/>
                <w:sz w:val="18"/>
                <w:szCs w:val="18"/>
                <w:lang w:eastAsia="hr-HR"/>
              </w:rPr>
              <w:t xml:space="preserve">. god. </w:t>
            </w:r>
          </w:p>
        </w:tc>
        <w:tc>
          <w:tcPr>
            <w:tcW w:w="1549"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Izvorni plan</w:t>
            </w:r>
          </w:p>
        </w:tc>
        <w:tc>
          <w:tcPr>
            <w:tcW w:w="1549"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Tekući plan</w:t>
            </w:r>
          </w:p>
        </w:tc>
        <w:tc>
          <w:tcPr>
            <w:tcW w:w="1549"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Ostvarenje</w:t>
            </w:r>
          </w:p>
        </w:tc>
        <w:tc>
          <w:tcPr>
            <w:tcW w:w="948"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xml:space="preserve">Indeks 4./1. </w:t>
            </w:r>
          </w:p>
        </w:tc>
        <w:tc>
          <w:tcPr>
            <w:tcW w:w="1054" w:type="dxa"/>
            <w:shd w:val="clear" w:color="auto" w:fill="auto"/>
            <w:vAlign w:val="center"/>
            <w:hideMark/>
          </w:tcPr>
          <w:p w:rsidR="0062667A" w:rsidRPr="0062667A" w:rsidRDefault="0062667A" w:rsidP="0062667A">
            <w:pPr>
              <w:spacing w:after="0" w:line="240" w:lineRule="auto"/>
              <w:jc w:val="center"/>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xml:space="preserve">Indeks 4./3. </w:t>
            </w:r>
          </w:p>
        </w:tc>
      </w:tr>
      <w:tr w:rsidR="0062667A" w:rsidRPr="0062667A" w:rsidTr="00B7649B">
        <w:trPr>
          <w:trHeight w:val="253"/>
        </w:trPr>
        <w:tc>
          <w:tcPr>
            <w:tcW w:w="2434" w:type="dxa"/>
            <w:shd w:val="clear" w:color="auto" w:fill="auto"/>
            <w:vAlign w:val="bottom"/>
          </w:tcPr>
          <w:p w:rsidR="0062667A" w:rsidRPr="0062667A" w:rsidRDefault="0062667A" w:rsidP="0062667A">
            <w:pPr>
              <w:spacing w:after="0" w:line="240" w:lineRule="auto"/>
              <w:ind w:firstLineChars="100" w:firstLine="181"/>
              <w:rPr>
                <w:rFonts w:ascii="Arial" w:eastAsia="Times New Roman" w:hAnsi="Arial" w:cs="Arial"/>
                <w:b/>
                <w:bCs/>
                <w:color w:val="FFFFFF"/>
                <w:sz w:val="18"/>
                <w:szCs w:val="18"/>
                <w:lang w:eastAsia="hr-HR"/>
              </w:rPr>
            </w:pPr>
          </w:p>
        </w:tc>
        <w:tc>
          <w:tcPr>
            <w:tcW w:w="1549"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bCs/>
                <w:sz w:val="16"/>
                <w:szCs w:val="16"/>
                <w:lang w:eastAsia="hr-HR"/>
              </w:rPr>
            </w:pPr>
            <w:r w:rsidRPr="0062667A">
              <w:rPr>
                <w:rFonts w:ascii="Arial" w:eastAsia="Times New Roman" w:hAnsi="Arial" w:cs="Arial"/>
                <w:bCs/>
                <w:sz w:val="16"/>
                <w:szCs w:val="16"/>
                <w:lang w:eastAsia="hr-HR"/>
              </w:rPr>
              <w:t>1</w:t>
            </w:r>
          </w:p>
        </w:tc>
        <w:tc>
          <w:tcPr>
            <w:tcW w:w="1549"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bCs/>
                <w:sz w:val="16"/>
                <w:szCs w:val="16"/>
                <w:lang w:eastAsia="hr-HR"/>
              </w:rPr>
            </w:pPr>
            <w:r w:rsidRPr="0062667A">
              <w:rPr>
                <w:rFonts w:ascii="Arial" w:eastAsia="Times New Roman" w:hAnsi="Arial" w:cs="Arial"/>
                <w:bCs/>
                <w:sz w:val="16"/>
                <w:szCs w:val="16"/>
                <w:lang w:eastAsia="hr-HR"/>
              </w:rPr>
              <w:t>2</w:t>
            </w:r>
          </w:p>
        </w:tc>
        <w:tc>
          <w:tcPr>
            <w:tcW w:w="1549"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bCs/>
                <w:sz w:val="16"/>
                <w:szCs w:val="16"/>
                <w:lang w:eastAsia="hr-HR"/>
              </w:rPr>
            </w:pPr>
            <w:r w:rsidRPr="0062667A">
              <w:rPr>
                <w:rFonts w:ascii="Arial" w:eastAsia="Times New Roman" w:hAnsi="Arial" w:cs="Arial"/>
                <w:bCs/>
                <w:sz w:val="16"/>
                <w:szCs w:val="16"/>
                <w:lang w:eastAsia="hr-HR"/>
              </w:rPr>
              <w:t>3</w:t>
            </w:r>
          </w:p>
        </w:tc>
        <w:tc>
          <w:tcPr>
            <w:tcW w:w="1549"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bCs/>
                <w:sz w:val="16"/>
                <w:szCs w:val="16"/>
                <w:lang w:eastAsia="hr-HR"/>
              </w:rPr>
            </w:pPr>
            <w:r w:rsidRPr="0062667A">
              <w:rPr>
                <w:rFonts w:ascii="Arial" w:eastAsia="Times New Roman" w:hAnsi="Arial" w:cs="Arial"/>
                <w:bCs/>
                <w:sz w:val="16"/>
                <w:szCs w:val="16"/>
                <w:lang w:eastAsia="hr-HR"/>
              </w:rPr>
              <w:t>4</w:t>
            </w:r>
          </w:p>
        </w:tc>
        <w:tc>
          <w:tcPr>
            <w:tcW w:w="948"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bCs/>
                <w:sz w:val="16"/>
                <w:szCs w:val="16"/>
                <w:lang w:eastAsia="hr-HR"/>
              </w:rPr>
            </w:pPr>
            <w:r w:rsidRPr="0062667A">
              <w:rPr>
                <w:rFonts w:ascii="Arial" w:eastAsia="Times New Roman" w:hAnsi="Arial" w:cs="Arial"/>
                <w:bCs/>
                <w:sz w:val="16"/>
                <w:szCs w:val="16"/>
                <w:lang w:eastAsia="hr-HR"/>
              </w:rPr>
              <w:t>5</w:t>
            </w:r>
          </w:p>
        </w:tc>
        <w:tc>
          <w:tcPr>
            <w:tcW w:w="1054" w:type="dxa"/>
            <w:shd w:val="clear" w:color="auto" w:fill="auto"/>
            <w:vAlign w:val="center"/>
          </w:tcPr>
          <w:p w:rsidR="0062667A" w:rsidRPr="0062667A" w:rsidRDefault="0062667A" w:rsidP="0062667A">
            <w:pPr>
              <w:spacing w:after="0" w:line="240" w:lineRule="auto"/>
              <w:ind w:firstLineChars="100" w:firstLine="160"/>
              <w:jc w:val="center"/>
              <w:rPr>
                <w:rFonts w:ascii="Arial" w:eastAsia="Times New Roman" w:hAnsi="Arial" w:cs="Arial"/>
                <w:sz w:val="16"/>
                <w:szCs w:val="16"/>
                <w:lang w:eastAsia="hr-HR"/>
              </w:rPr>
            </w:pPr>
            <w:r w:rsidRPr="0062667A">
              <w:rPr>
                <w:rFonts w:ascii="Arial" w:eastAsia="Times New Roman" w:hAnsi="Arial" w:cs="Arial"/>
                <w:sz w:val="16"/>
                <w:szCs w:val="16"/>
                <w:lang w:eastAsia="hr-HR"/>
              </w:rPr>
              <w:t>6</w:t>
            </w:r>
          </w:p>
        </w:tc>
      </w:tr>
      <w:tr w:rsidR="0062667A" w:rsidRPr="0062667A" w:rsidTr="00B7649B">
        <w:trPr>
          <w:trHeight w:val="253"/>
        </w:trPr>
        <w:tc>
          <w:tcPr>
            <w:tcW w:w="2434" w:type="dxa"/>
            <w:shd w:val="clear" w:color="000000" w:fill="0000FF"/>
            <w:vAlign w:val="bottom"/>
            <w:hideMark/>
          </w:tcPr>
          <w:p w:rsidR="0062667A" w:rsidRPr="0062667A" w:rsidRDefault="0062667A" w:rsidP="0062667A">
            <w:pPr>
              <w:spacing w:after="0" w:line="240" w:lineRule="auto"/>
              <w:ind w:firstLineChars="100" w:firstLine="181"/>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SVEUKUPNO</w:t>
            </w:r>
          </w:p>
        </w:tc>
        <w:tc>
          <w:tcPr>
            <w:tcW w:w="1549" w:type="dxa"/>
            <w:shd w:val="clear" w:color="000000" w:fill="0000FF"/>
            <w:vAlign w:val="center"/>
            <w:hideMark/>
          </w:tcPr>
          <w:p w:rsidR="0062667A" w:rsidRPr="0062667A" w:rsidRDefault="0062667A" w:rsidP="00ED6C54">
            <w:pPr>
              <w:spacing w:after="0" w:line="240" w:lineRule="auto"/>
              <w:ind w:firstLineChars="100" w:firstLine="181"/>
              <w:jc w:val="right"/>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15.069.268,</w:t>
            </w:r>
            <w:r w:rsidR="00ED6C54">
              <w:rPr>
                <w:rFonts w:ascii="Arial" w:eastAsia="Times New Roman" w:hAnsi="Arial" w:cs="Arial"/>
                <w:b/>
                <w:bCs/>
                <w:color w:val="FFFFFF"/>
                <w:sz w:val="18"/>
                <w:szCs w:val="18"/>
                <w:lang w:eastAsia="hr-HR"/>
              </w:rPr>
              <w:t>99</w:t>
            </w:r>
          </w:p>
        </w:tc>
        <w:tc>
          <w:tcPr>
            <w:tcW w:w="1549" w:type="dxa"/>
            <w:shd w:val="clear" w:color="000000" w:fill="0000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22.525.926,00</w:t>
            </w:r>
          </w:p>
        </w:tc>
        <w:tc>
          <w:tcPr>
            <w:tcW w:w="1549" w:type="dxa"/>
            <w:shd w:val="clear" w:color="000000" w:fill="0000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22.525.926,00</w:t>
            </w:r>
          </w:p>
        </w:tc>
        <w:tc>
          <w:tcPr>
            <w:tcW w:w="1549" w:type="dxa"/>
            <w:shd w:val="clear" w:color="000000" w:fill="0000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11.721.657,70</w:t>
            </w:r>
          </w:p>
        </w:tc>
        <w:tc>
          <w:tcPr>
            <w:tcW w:w="948" w:type="dxa"/>
            <w:shd w:val="clear" w:color="000000" w:fill="0000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FFFFFF"/>
                <w:sz w:val="18"/>
                <w:szCs w:val="18"/>
                <w:lang w:eastAsia="hr-HR"/>
              </w:rPr>
            </w:pPr>
            <w:r w:rsidRPr="0062667A">
              <w:rPr>
                <w:rFonts w:ascii="Arial" w:eastAsia="Times New Roman" w:hAnsi="Arial" w:cs="Arial"/>
                <w:b/>
                <w:bCs/>
                <w:color w:val="FFFFFF"/>
                <w:sz w:val="18"/>
                <w:szCs w:val="18"/>
                <w:lang w:eastAsia="hr-HR"/>
              </w:rPr>
              <w:t>77,79</w:t>
            </w:r>
          </w:p>
        </w:tc>
        <w:tc>
          <w:tcPr>
            <w:tcW w:w="1054" w:type="dxa"/>
            <w:shd w:val="clear" w:color="000000" w:fill="0000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FFFFFF"/>
                <w:sz w:val="18"/>
                <w:szCs w:val="18"/>
                <w:lang w:eastAsia="hr-HR"/>
              </w:rPr>
            </w:pPr>
            <w:r w:rsidRPr="0062667A">
              <w:rPr>
                <w:rFonts w:ascii="Arial" w:eastAsia="Times New Roman" w:hAnsi="Arial" w:cs="Arial"/>
                <w:color w:val="FFFFFF"/>
                <w:sz w:val="18"/>
                <w:szCs w:val="18"/>
                <w:lang w:eastAsia="hr-HR"/>
              </w:rPr>
              <w:t>52,04</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31 Rashodi za zaposlene</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5.381.753,25</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11.712.788,00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11.712.788,00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5.930.244,44</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110,19</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50,63</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32 Materijalni rashodi</w:t>
            </w:r>
          </w:p>
        </w:tc>
        <w:tc>
          <w:tcPr>
            <w:tcW w:w="1549" w:type="dxa"/>
            <w:shd w:val="clear" w:color="000000" w:fill="FFFFFF"/>
            <w:vAlign w:val="center"/>
            <w:hideMark/>
          </w:tcPr>
          <w:p w:rsidR="0062667A" w:rsidRPr="0062667A" w:rsidRDefault="0062667A" w:rsidP="00ED6C54">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2.560.292,5</w:t>
            </w:r>
            <w:r w:rsidR="00ED6C54">
              <w:rPr>
                <w:rFonts w:ascii="Arial" w:eastAsia="Times New Roman" w:hAnsi="Arial" w:cs="Arial"/>
                <w:b/>
                <w:bCs/>
                <w:color w:val="000000"/>
                <w:sz w:val="18"/>
                <w:szCs w:val="18"/>
                <w:lang w:eastAsia="hr-HR"/>
              </w:rPr>
              <w:t>4</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6.370.831,00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6.370.831,00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3.039.574,30</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118,72</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47,71</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34 Financijski rashodi</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69.065,16</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186.305,00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186.305,00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111.036,02</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160,77</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59,6</w:t>
            </w:r>
          </w:p>
        </w:tc>
      </w:tr>
      <w:tr w:rsidR="0062667A" w:rsidRPr="0062667A" w:rsidTr="00B7649B">
        <w:trPr>
          <w:trHeight w:val="506"/>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37 Naknade građanima i kućanstvima na temelju osiguranja i druge naknade</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2.229,74</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4.645,00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4.645,00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2.229,84</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100</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48,01</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38 Ostali rashodi</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w:t>
            </w:r>
            <w:r w:rsidR="00ED6C54">
              <w:rPr>
                <w:rFonts w:ascii="Arial" w:eastAsia="Times New Roman" w:hAnsi="Arial" w:cs="Arial"/>
                <w:b/>
                <w:bCs/>
                <w:color w:val="000000"/>
                <w:sz w:val="18"/>
                <w:szCs w:val="18"/>
                <w:lang w:eastAsia="hr-HR"/>
              </w:rPr>
              <w:t>0,00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3.982,00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3.982,00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590</w:t>
            </w:r>
          </w:p>
        </w:tc>
        <w:tc>
          <w:tcPr>
            <w:tcW w:w="948" w:type="dxa"/>
            <w:shd w:val="clear" w:color="000000" w:fill="FFFFFF"/>
            <w:vAlign w:val="center"/>
            <w:hideMark/>
          </w:tcPr>
          <w:p w:rsidR="0062667A" w:rsidRPr="0062667A" w:rsidRDefault="00ED6C54" w:rsidP="0062667A">
            <w:pPr>
              <w:spacing w:after="0" w:line="240" w:lineRule="auto"/>
              <w:ind w:firstLineChars="100" w:firstLine="181"/>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r w:rsidR="0062667A" w:rsidRPr="0062667A">
              <w:rPr>
                <w:rFonts w:ascii="Arial" w:eastAsia="Times New Roman" w:hAnsi="Arial" w:cs="Arial"/>
                <w:b/>
                <w:bCs/>
                <w:color w:val="000000"/>
                <w:sz w:val="18"/>
                <w:szCs w:val="18"/>
                <w:lang w:eastAsia="hr-HR"/>
              </w:rPr>
              <w:t> </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14,82</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xml:space="preserve">41 Rashodi za nabavu </w:t>
            </w:r>
            <w:proofErr w:type="spellStart"/>
            <w:r w:rsidRPr="0062667A">
              <w:rPr>
                <w:rFonts w:ascii="Arial" w:eastAsia="Times New Roman" w:hAnsi="Arial" w:cs="Arial"/>
                <w:b/>
                <w:bCs/>
                <w:color w:val="000000"/>
                <w:sz w:val="18"/>
                <w:szCs w:val="18"/>
                <w:lang w:eastAsia="hr-HR"/>
              </w:rPr>
              <w:t>neproizvedene</w:t>
            </w:r>
            <w:proofErr w:type="spellEnd"/>
            <w:r w:rsidRPr="0062667A">
              <w:rPr>
                <w:rFonts w:ascii="Arial" w:eastAsia="Times New Roman" w:hAnsi="Arial" w:cs="Arial"/>
                <w:b/>
                <w:bCs/>
                <w:color w:val="000000"/>
                <w:sz w:val="18"/>
                <w:szCs w:val="18"/>
                <w:lang w:eastAsia="hr-HR"/>
              </w:rPr>
              <w:t xml:space="preserve"> dugotrajne imovine</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 </w:t>
            </w:r>
            <w:r w:rsidR="00ED6C54">
              <w:rPr>
                <w:rFonts w:ascii="Arial" w:eastAsia="Times New Roman" w:hAnsi="Arial" w:cs="Arial"/>
                <w:b/>
                <w:bCs/>
                <w:color w:val="000000"/>
                <w:sz w:val="18"/>
                <w:szCs w:val="18"/>
                <w:lang w:eastAsia="hr-HR"/>
              </w:rPr>
              <w:t>0,00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8.295,00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8.295,00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4.081,79</w:t>
            </w:r>
          </w:p>
        </w:tc>
        <w:tc>
          <w:tcPr>
            <w:tcW w:w="948" w:type="dxa"/>
            <w:shd w:val="clear" w:color="000000" w:fill="FFFFFF"/>
            <w:vAlign w:val="center"/>
            <w:hideMark/>
          </w:tcPr>
          <w:p w:rsidR="0062667A" w:rsidRPr="0062667A" w:rsidRDefault="00ED6C54" w:rsidP="0062667A">
            <w:pPr>
              <w:spacing w:after="0" w:line="240" w:lineRule="auto"/>
              <w:ind w:firstLineChars="100" w:firstLine="181"/>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r w:rsidR="0062667A" w:rsidRPr="0062667A">
              <w:rPr>
                <w:rFonts w:ascii="Arial" w:eastAsia="Times New Roman" w:hAnsi="Arial" w:cs="Arial"/>
                <w:b/>
                <w:bCs/>
                <w:color w:val="000000"/>
                <w:sz w:val="18"/>
                <w:szCs w:val="18"/>
                <w:lang w:eastAsia="hr-HR"/>
              </w:rPr>
              <w:t> </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49,21</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42 Rashodi za nabavu proizvedene dugotrajne imovine</w:t>
            </w:r>
          </w:p>
        </w:tc>
        <w:tc>
          <w:tcPr>
            <w:tcW w:w="1549" w:type="dxa"/>
            <w:shd w:val="clear" w:color="000000" w:fill="FFFFFF"/>
            <w:vAlign w:val="center"/>
            <w:hideMark/>
          </w:tcPr>
          <w:p w:rsidR="0062667A" w:rsidRPr="0062667A" w:rsidRDefault="0062667A" w:rsidP="00ED6C54">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6.930.864,7</w:t>
            </w:r>
            <w:r w:rsidR="00ED6C54">
              <w:rPr>
                <w:rFonts w:ascii="Arial" w:eastAsia="Times New Roman" w:hAnsi="Arial" w:cs="Arial"/>
                <w:b/>
                <w:bCs/>
                <w:color w:val="000000"/>
                <w:sz w:val="18"/>
                <w:szCs w:val="18"/>
                <w:lang w:eastAsia="hr-HR"/>
              </w:rPr>
              <w:t>2</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3.360.236,00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3.360.236,00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2.150.528,92</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31,03</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64</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45 Rashodi za dodatna ulaganja na nefinancijskoj imovini</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8.494,79</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199.084,00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199.084,00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36.005,91</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423,86</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18,09</w:t>
            </w:r>
          </w:p>
        </w:tc>
      </w:tr>
      <w:tr w:rsidR="0062667A" w:rsidRPr="0062667A" w:rsidTr="00B7649B">
        <w:trPr>
          <w:trHeight w:val="253"/>
        </w:trPr>
        <w:tc>
          <w:tcPr>
            <w:tcW w:w="2434" w:type="dxa"/>
            <w:shd w:val="clear" w:color="000000" w:fill="FFFFFF"/>
            <w:vAlign w:val="bottom"/>
            <w:hideMark/>
          </w:tcPr>
          <w:p w:rsidR="0062667A" w:rsidRPr="0062667A" w:rsidRDefault="0062667A" w:rsidP="0062667A">
            <w:pPr>
              <w:spacing w:after="0" w:line="240" w:lineRule="auto"/>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54 Izdaci za otplatu glavnice primljenih kredita i zajmova</w:t>
            </w:r>
          </w:p>
        </w:tc>
        <w:tc>
          <w:tcPr>
            <w:tcW w:w="1549" w:type="dxa"/>
            <w:shd w:val="clear" w:color="000000" w:fill="FFFFFF"/>
            <w:vAlign w:val="center"/>
            <w:hideMark/>
          </w:tcPr>
          <w:p w:rsidR="0062667A" w:rsidRPr="0062667A" w:rsidRDefault="0062667A" w:rsidP="00ED6C54">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116.568,</w:t>
            </w:r>
            <w:r w:rsidR="00ED6C54">
              <w:rPr>
                <w:rFonts w:ascii="Arial" w:eastAsia="Times New Roman" w:hAnsi="Arial" w:cs="Arial"/>
                <w:b/>
                <w:bCs/>
                <w:color w:val="000000"/>
                <w:sz w:val="18"/>
                <w:szCs w:val="18"/>
                <w:lang w:eastAsia="hr-HR"/>
              </w:rPr>
              <w:t>79</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679.760,00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679.760,00</w:t>
            </w:r>
          </w:p>
        </w:tc>
        <w:tc>
          <w:tcPr>
            <w:tcW w:w="1549"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447.366,48</w:t>
            </w:r>
          </w:p>
        </w:tc>
        <w:tc>
          <w:tcPr>
            <w:tcW w:w="948" w:type="dxa"/>
            <w:shd w:val="clear" w:color="000000" w:fill="FFFFFF"/>
            <w:vAlign w:val="center"/>
            <w:hideMark/>
          </w:tcPr>
          <w:p w:rsidR="0062667A" w:rsidRPr="0062667A" w:rsidRDefault="0062667A" w:rsidP="0062667A">
            <w:pPr>
              <w:spacing w:after="0" w:line="240" w:lineRule="auto"/>
              <w:ind w:firstLineChars="100" w:firstLine="181"/>
              <w:jc w:val="right"/>
              <w:rPr>
                <w:rFonts w:ascii="Arial" w:eastAsia="Times New Roman" w:hAnsi="Arial" w:cs="Arial"/>
                <w:b/>
                <w:bCs/>
                <w:color w:val="000000"/>
                <w:sz w:val="18"/>
                <w:szCs w:val="18"/>
                <w:lang w:eastAsia="hr-HR"/>
              </w:rPr>
            </w:pPr>
            <w:r w:rsidRPr="0062667A">
              <w:rPr>
                <w:rFonts w:ascii="Arial" w:eastAsia="Times New Roman" w:hAnsi="Arial" w:cs="Arial"/>
                <w:b/>
                <w:bCs/>
                <w:color w:val="000000"/>
                <w:sz w:val="18"/>
                <w:szCs w:val="18"/>
                <w:lang w:eastAsia="hr-HR"/>
              </w:rPr>
              <w:t>383,78</w:t>
            </w:r>
          </w:p>
        </w:tc>
        <w:tc>
          <w:tcPr>
            <w:tcW w:w="1054" w:type="dxa"/>
            <w:shd w:val="clear" w:color="000000" w:fill="FFFFFF"/>
            <w:vAlign w:val="center"/>
            <w:hideMark/>
          </w:tcPr>
          <w:p w:rsidR="0062667A" w:rsidRPr="0062667A" w:rsidRDefault="0062667A" w:rsidP="0062667A">
            <w:pPr>
              <w:spacing w:after="0" w:line="240" w:lineRule="auto"/>
              <w:ind w:firstLineChars="100" w:firstLine="180"/>
              <w:jc w:val="right"/>
              <w:rPr>
                <w:rFonts w:ascii="Arial" w:eastAsia="Times New Roman" w:hAnsi="Arial" w:cs="Arial"/>
                <w:color w:val="000000"/>
                <w:sz w:val="18"/>
                <w:szCs w:val="18"/>
                <w:lang w:eastAsia="hr-HR"/>
              </w:rPr>
            </w:pPr>
            <w:r w:rsidRPr="0062667A">
              <w:rPr>
                <w:rFonts w:ascii="Arial" w:eastAsia="Times New Roman" w:hAnsi="Arial" w:cs="Arial"/>
                <w:color w:val="000000"/>
                <w:sz w:val="18"/>
                <w:szCs w:val="18"/>
                <w:lang w:eastAsia="hr-HR"/>
              </w:rPr>
              <w:t>65,81</w:t>
            </w:r>
          </w:p>
        </w:tc>
      </w:tr>
    </w:tbl>
    <w:p w:rsidR="0062667A" w:rsidRPr="0062667A" w:rsidRDefault="0062667A" w:rsidP="0062667A">
      <w:pPr>
        <w:rPr>
          <w:rFonts w:eastAsia="Times New Roman" w:cstheme="minorHAnsi"/>
          <w:b/>
          <w:bCs/>
          <w:color w:val="000000"/>
          <w:lang w:eastAsia="hr-HR"/>
        </w:rPr>
      </w:pPr>
    </w:p>
    <w:p w:rsidR="0062667A" w:rsidRPr="000C36FF" w:rsidRDefault="0062667A" w:rsidP="0062667A">
      <w:pPr>
        <w:ind w:left="-567"/>
        <w:jc w:val="both"/>
        <w:rPr>
          <w:rFonts w:ascii="Times New Roman" w:hAnsi="Times New Roman" w:cs="Times New Roman"/>
        </w:rPr>
      </w:pPr>
      <w:r w:rsidRPr="000C36FF">
        <w:rPr>
          <w:rFonts w:ascii="Times New Roman" w:hAnsi="Times New Roman" w:cs="Times New Roman"/>
        </w:rPr>
        <w:t>Rashodi i izdaci izvršeni su u iznosu 11.721.657,70 eura što je za 22,20% manje od i</w:t>
      </w:r>
      <w:r w:rsidR="00ED6C54" w:rsidRPr="000C36FF">
        <w:rPr>
          <w:rFonts w:ascii="Times New Roman" w:hAnsi="Times New Roman" w:cs="Times New Roman"/>
        </w:rPr>
        <w:t>stog razdoblja prethodne godine i 47,96 % manje od plana.</w:t>
      </w:r>
    </w:p>
    <w:p w:rsidR="0062667A" w:rsidRPr="000C36FF" w:rsidRDefault="0062667A" w:rsidP="0062667A">
      <w:pPr>
        <w:ind w:left="-567"/>
        <w:jc w:val="both"/>
        <w:rPr>
          <w:rFonts w:ascii="Times New Roman" w:hAnsi="Times New Roman" w:cs="Times New Roman"/>
        </w:rPr>
      </w:pPr>
      <w:r w:rsidRPr="000C36FF">
        <w:rPr>
          <w:rFonts w:ascii="Times New Roman" w:hAnsi="Times New Roman" w:cs="Times New Roman"/>
          <w:b/>
          <w:i/>
        </w:rPr>
        <w:t>31 – Rashodi za zaposlene</w:t>
      </w:r>
      <w:r w:rsidRPr="000C36FF">
        <w:rPr>
          <w:rFonts w:ascii="Times New Roman" w:hAnsi="Times New Roman" w:cs="Times New Roman"/>
        </w:rPr>
        <w:t xml:space="preserve"> – izvršeni su u iznosu 5.930.244,44 eura i veći su za 10,20% ili 548.491,19 eura od istog razdoblja prethodne godine, a čine 50,63% planiranog iznosa.</w:t>
      </w:r>
    </w:p>
    <w:p w:rsidR="0062667A" w:rsidRPr="000C36FF" w:rsidRDefault="0062667A" w:rsidP="0062667A">
      <w:pPr>
        <w:ind w:left="-567" w:firstLine="567"/>
        <w:jc w:val="both"/>
        <w:rPr>
          <w:rFonts w:ascii="Times New Roman" w:hAnsi="Times New Roman" w:cs="Times New Roman"/>
        </w:rPr>
      </w:pPr>
      <w:r w:rsidRPr="000C36FF">
        <w:rPr>
          <w:rFonts w:ascii="Times New Roman" w:hAnsi="Times New Roman" w:cs="Times New Roman"/>
          <w:b/>
          <w:i/>
        </w:rPr>
        <w:t>311 – Plaće (bruto</w:t>
      </w:r>
      <w:r w:rsidRPr="000C36FF">
        <w:rPr>
          <w:rFonts w:ascii="Times New Roman" w:hAnsi="Times New Roman" w:cs="Times New Roman"/>
          <w:i/>
        </w:rPr>
        <w:t>)</w:t>
      </w:r>
      <w:r w:rsidRPr="000C36FF">
        <w:rPr>
          <w:rFonts w:ascii="Times New Roman" w:hAnsi="Times New Roman" w:cs="Times New Roman"/>
        </w:rPr>
        <w:t xml:space="preserve"> – Ostvarene su u iznosu 5.074.432,47 eura i veće su za 11,1% u odnosu na isto razdoblje prethodne 2022. godine ili za 505.581,45 eura (izjednačavanje koeficijenata za radna mjesta iste složenosti poslova i iste razine stručne osposobljenosti na različitim razinama zdravstvene zaštite te povećanje koeficijenata zaposlenima i to: koeficijent 0,631 do 1,100 – povećanje 100,00 eura mjesečno u neto iznosu, koeficijent 1,111 do 1,529 – povećanje 80,00 eura mjesečno u neto iznosu te koeficijent 1,530 do 1,867 povećanje 60 eura u neto iznosu).</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312 – Ostali rashodi za zaposlene</w:t>
      </w:r>
      <w:r w:rsidRPr="000C36FF">
        <w:rPr>
          <w:rFonts w:ascii="Times New Roman" w:hAnsi="Times New Roman" w:cs="Times New Roman"/>
          <w:b/>
        </w:rPr>
        <w:t xml:space="preserve"> – </w:t>
      </w:r>
      <w:r w:rsidRPr="000C36FF">
        <w:rPr>
          <w:rFonts w:ascii="Times New Roman" w:hAnsi="Times New Roman" w:cs="Times New Roman"/>
        </w:rPr>
        <w:t>iznose 102.856,45 eura,</w:t>
      </w:r>
      <w:r w:rsidRPr="000C36FF">
        <w:rPr>
          <w:rFonts w:ascii="Times New Roman" w:hAnsi="Times New Roman" w:cs="Times New Roman"/>
          <w:b/>
        </w:rPr>
        <w:t xml:space="preserve"> </w:t>
      </w:r>
      <w:r w:rsidRPr="000C36FF">
        <w:rPr>
          <w:rFonts w:ascii="Times New Roman" w:hAnsi="Times New Roman" w:cs="Times New Roman"/>
        </w:rPr>
        <w:t>manji su za</w:t>
      </w:r>
      <w:r w:rsidRPr="000C36FF">
        <w:rPr>
          <w:rFonts w:ascii="Times New Roman" w:hAnsi="Times New Roman" w:cs="Times New Roman"/>
          <w:b/>
        </w:rPr>
        <w:t xml:space="preserve"> </w:t>
      </w:r>
      <w:r w:rsidRPr="000C36FF">
        <w:rPr>
          <w:rFonts w:ascii="Times New Roman" w:hAnsi="Times New Roman" w:cs="Times New Roman"/>
        </w:rPr>
        <w:t>14,8% u odnosu na isto razdoblje prethodne 2022. godine (manje izdataka za jubilarne nagrade, nije bilo potpora za novorođeno dijete i manje izdataka za otpremnine).</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313 – Doprinosi na plaće</w:t>
      </w:r>
      <w:r w:rsidRPr="000C36FF">
        <w:rPr>
          <w:rFonts w:ascii="Times New Roman" w:hAnsi="Times New Roman" w:cs="Times New Roman"/>
        </w:rPr>
        <w:t xml:space="preserve"> – rashodi ostvareni u iznosu 752.955,52 eura veći su za 8,8% u odnosu na isto razdoblje 2022. godine – posljedično prati rast bruto plaća, a isplaćeni su sukladno važećim Zakonskim propisima.</w:t>
      </w:r>
    </w:p>
    <w:p w:rsidR="0062667A" w:rsidRPr="000C36FF" w:rsidRDefault="0062667A" w:rsidP="0062667A">
      <w:pPr>
        <w:ind w:left="-567"/>
        <w:jc w:val="both"/>
        <w:rPr>
          <w:rFonts w:ascii="Times New Roman" w:hAnsi="Times New Roman" w:cs="Times New Roman"/>
        </w:rPr>
      </w:pPr>
      <w:r w:rsidRPr="000C36FF">
        <w:rPr>
          <w:rFonts w:ascii="Times New Roman" w:hAnsi="Times New Roman" w:cs="Times New Roman"/>
          <w:b/>
          <w:i/>
        </w:rPr>
        <w:t>32 – Materijalni rashodi</w:t>
      </w:r>
      <w:r w:rsidRPr="000C36FF">
        <w:rPr>
          <w:rFonts w:ascii="Times New Roman" w:hAnsi="Times New Roman" w:cs="Times New Roman"/>
        </w:rPr>
        <w:t xml:space="preserve"> – ostvareni su u iznosu 3.039.574,30 eura i veći su za 18,70% ili za 479.281,80 eura u odnosu na isto razdoblje prethodne godine. Zbog poremećaja na tržištu vidljiv je porast na svim materijalnim rashodima.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321 – Naknade troškova zaposlenima</w:t>
      </w:r>
      <w:r w:rsidRPr="000C36FF">
        <w:rPr>
          <w:rFonts w:ascii="Times New Roman" w:hAnsi="Times New Roman" w:cs="Times New Roman"/>
          <w:b/>
        </w:rPr>
        <w:t xml:space="preserve"> – </w:t>
      </w:r>
      <w:r w:rsidRPr="000C36FF">
        <w:rPr>
          <w:rFonts w:ascii="Times New Roman" w:hAnsi="Times New Roman" w:cs="Times New Roman"/>
        </w:rPr>
        <w:t>ostvareni u iznosu 342.163,77 eura, veći su za 9,0% ili za 28.348,90 eura u odnosu na isto razdoblje prethodne godine radi većeg broja odlazaka radnika na službena putovanja, povećana naknada za prijevoz zaposlenika (povećanje putnih troškova zbog novog načina obračuna u korist radnika, više zaposlenih), povećan broj stručnih usavršavanja. Prethodne godine na ostalim naknadama troškova zaposlenima evidentirani troškovi za korištenje privatnog auta u službene svrhe.</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lastRenderedPageBreak/>
        <w:t>322 – Rashodi za materijal i energiju</w:t>
      </w:r>
      <w:r w:rsidRPr="000C36FF">
        <w:rPr>
          <w:rFonts w:ascii="Times New Roman" w:hAnsi="Times New Roman" w:cs="Times New Roman"/>
        </w:rPr>
        <w:t xml:space="preserve"> – iznose 1.571.982,07 eura, veći su za 10,2% ili za 145.184,42 eura u odnosu na isto razdoblje prethodne 2022. godine. Veći troškovi evidentirani na troškovima uredskog materijala te na troškovima materijala i sirovina (više osoba na liječenju veći troškovi živežnih namirnica, lijekova i potrošnog medicinskog materijala).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323 – Rashodi za usluge</w:t>
      </w:r>
      <w:r w:rsidRPr="000C36FF">
        <w:rPr>
          <w:rFonts w:ascii="Times New Roman" w:hAnsi="Times New Roman" w:cs="Times New Roman"/>
          <w:b/>
        </w:rPr>
        <w:t xml:space="preserve"> </w:t>
      </w:r>
      <w:r w:rsidRPr="000C36FF">
        <w:rPr>
          <w:rFonts w:ascii="Times New Roman" w:hAnsi="Times New Roman" w:cs="Times New Roman"/>
        </w:rPr>
        <w:t>–</w:t>
      </w:r>
      <w:r w:rsidRPr="000C36FF">
        <w:rPr>
          <w:rFonts w:ascii="Times New Roman" w:hAnsi="Times New Roman" w:cs="Times New Roman"/>
          <w:b/>
        </w:rPr>
        <w:t xml:space="preserve"> </w:t>
      </w:r>
      <w:r w:rsidRPr="000C36FF">
        <w:rPr>
          <w:rFonts w:ascii="Times New Roman" w:hAnsi="Times New Roman" w:cs="Times New Roman"/>
        </w:rPr>
        <w:t>iznose 1.003.157,48 eura,</w:t>
      </w:r>
      <w:r w:rsidRPr="000C36FF">
        <w:rPr>
          <w:rFonts w:ascii="Times New Roman" w:hAnsi="Times New Roman" w:cs="Times New Roman"/>
          <w:b/>
        </w:rPr>
        <w:t xml:space="preserve"> </w:t>
      </w:r>
      <w:r w:rsidRPr="000C36FF">
        <w:rPr>
          <w:rFonts w:ascii="Times New Roman" w:hAnsi="Times New Roman" w:cs="Times New Roman"/>
        </w:rPr>
        <w:t>veći su za 49,7% ili za 333.137,20 eura u odnosu na isto razdoblje prethodne 2022. godine. Evidentirano je povećanje na uslugama tekućeg i investicijskog održavanja (bazenska tehnika i oprema, razna ulaganja na vanjskim bazenima), komunalnim uslugama (veća potrošnja vode, više zbrinjavanja otpada), uslugama promidžbe i informiranja, računalnim i ostalim uslugama (veći troškovi održavanja informacijskog programa (bolnički informacijski sustav i poslovni informacijski sustav) te ostale usluge (usluge tjelesne zaštite).</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329 – Ostali nespomenuti rashodi poslovanja</w:t>
      </w:r>
      <w:r w:rsidRPr="000C36FF">
        <w:rPr>
          <w:rFonts w:ascii="Times New Roman" w:hAnsi="Times New Roman" w:cs="Times New Roman"/>
        </w:rPr>
        <w:t xml:space="preserve"> – bilježe smanjenje u odnosu na isto razdoblje prethodne godine za 18,30% ili za 27.388,76 eura. Smanjenje evidentirano na troškovima za reprezentaciju (manje ugošćavanje poslovnih partnera), raznim pristojbama i naknadama (manji iznos novčanih naknada zbog nezapošljavanja osoba s invaliditetom – obveza smanjena budući da je bolnica zaključila Ugovor o poslovnoj suradnji sa zaštitnom radionicom, troškovima za komunalnu naknadu.</w:t>
      </w: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b/>
          <w:i/>
        </w:rPr>
        <w:t>34- Financijski rashodi</w:t>
      </w:r>
      <w:r w:rsidRPr="000C36FF">
        <w:rPr>
          <w:rFonts w:ascii="Times New Roman" w:hAnsi="Times New Roman" w:cs="Times New Roman"/>
        </w:rPr>
        <w:t xml:space="preserve"> –</w:t>
      </w:r>
      <w:r w:rsidRPr="000C36FF">
        <w:rPr>
          <w:rFonts w:ascii="Times New Roman" w:hAnsi="Times New Roman" w:cs="Times New Roman"/>
          <w:b/>
        </w:rPr>
        <w:t xml:space="preserve"> </w:t>
      </w:r>
      <w:r w:rsidRPr="000C36FF">
        <w:rPr>
          <w:rFonts w:ascii="Times New Roman" w:hAnsi="Times New Roman" w:cs="Times New Roman"/>
        </w:rPr>
        <w:t>ostvareni su u iznosu 111.036,02 eura i veći su u odnosu na isto razdoblje prethodne godine za 60,80% ili za 41.970,86 eura.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342 – Kamate za primljene kredite i  zajmove</w:t>
      </w:r>
      <w:r w:rsidRPr="000C36FF">
        <w:rPr>
          <w:rFonts w:ascii="Times New Roman" w:hAnsi="Times New Roman" w:cs="Times New Roman"/>
        </w:rPr>
        <w:t xml:space="preserve"> – spomenuti rashodi veći su u odnosu na isto razdoblje 2022. godinu za 89,6% ili za 38.116,49 eura, a odnose se na redovne kamate po investicijskim kreditima (Zagrebačka banka i HBOR) te za kamate po okvirnom Cash </w:t>
      </w:r>
      <w:proofErr w:type="spellStart"/>
      <w:r w:rsidRPr="000C36FF">
        <w:rPr>
          <w:rFonts w:ascii="Times New Roman" w:hAnsi="Times New Roman" w:cs="Times New Roman"/>
        </w:rPr>
        <w:t>pool</w:t>
      </w:r>
      <w:proofErr w:type="spellEnd"/>
      <w:r w:rsidRPr="000C36FF">
        <w:rPr>
          <w:rFonts w:ascii="Times New Roman" w:hAnsi="Times New Roman" w:cs="Times New Roman"/>
        </w:rPr>
        <w:t xml:space="preserve"> kreditu. Poslovne 2023. godine plaćeno više na ime kamata po kreditima Zagrebačke banke. Dospijeće kamata je 01.07.2023. godine, budući da je to subota kamate su podmirene dana 30.06.2023. godine i isti terete troškove mjeseca lipnja.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343 – Ostali financijski rashodi</w:t>
      </w:r>
      <w:r w:rsidRPr="000C36FF">
        <w:rPr>
          <w:rFonts w:ascii="Times New Roman" w:hAnsi="Times New Roman" w:cs="Times New Roman"/>
        </w:rPr>
        <w:t xml:space="preserve"> – u odnosu na isto razdoblje prethodne 2022. godine bilježi se povećanje za 14,5% ili 3.854,37 eura, a odnose se na bankarske usluge i usluge platnog prometa i zatezne kamate na ime poreza na dodanu vrijednost (PDV) – s Poreznom upravom sklopljen Upravni ugovor za namirenje dospjelog poreznog duga. Na dan 30. lipanja Upravni ugovor otplaćen u cijelosti te na negativnu tečajnu razliku i razlike zbog promjene valutne klauzule.</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372 – Ostale naknade građanima i kućanstvima iz proračuna</w:t>
      </w:r>
      <w:r w:rsidRPr="000C36FF">
        <w:rPr>
          <w:rFonts w:ascii="Times New Roman" w:hAnsi="Times New Roman" w:cs="Times New Roman"/>
        </w:rPr>
        <w:t xml:space="preserve"> – spomenuti rashodi iznose 2.229,74 eura i na razini su istog razdoblja prethodne godine – isti broj djece preminulih radnika koji koriste pravo na naknadu.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383 – Kazne, penali i naknade šteta</w:t>
      </w:r>
      <w:r w:rsidRPr="000C36FF">
        <w:rPr>
          <w:rFonts w:ascii="Times New Roman" w:hAnsi="Times New Roman" w:cs="Times New Roman"/>
        </w:rPr>
        <w:t xml:space="preserve"> – iznose 590,00 eura,  prethodne godine u istom razdoblju nije bilo plaćenih šteta. Plaćene štete odnose se na inspekcijske preglede u kuhinji Terme i kuhinji Minerva.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412 – Nematerijalna imovina</w:t>
      </w:r>
      <w:r w:rsidRPr="000C36FF">
        <w:rPr>
          <w:rFonts w:ascii="Times New Roman" w:hAnsi="Times New Roman" w:cs="Times New Roman"/>
        </w:rPr>
        <w:t xml:space="preserve"> –  iznosi 4.081,79 eura, a odnosi se na nabavljene antivirusne programe i web aplikaciju za dijetetiku. Prošle godine u istom razdoblju nije bilo nabavljene nematerijalne imovine.</w:t>
      </w:r>
    </w:p>
    <w:p w:rsidR="009025B0" w:rsidRPr="000C36FF" w:rsidRDefault="009025B0" w:rsidP="009025B0">
      <w:pPr>
        <w:ind w:left="-426"/>
        <w:jc w:val="both"/>
        <w:rPr>
          <w:rFonts w:ascii="Times New Roman" w:hAnsi="Times New Roman" w:cs="Times New Roman"/>
        </w:rPr>
      </w:pPr>
      <w:r w:rsidRPr="000C36FF">
        <w:rPr>
          <w:rFonts w:ascii="Times New Roman" w:hAnsi="Times New Roman" w:cs="Times New Roman"/>
          <w:b/>
          <w:i/>
        </w:rPr>
        <w:t>42 – Rashodi za nabavu proizvedene dugotrajne imovine</w:t>
      </w:r>
      <w:r w:rsidRPr="000C36FF">
        <w:rPr>
          <w:rFonts w:ascii="Times New Roman" w:hAnsi="Times New Roman" w:cs="Times New Roman"/>
        </w:rPr>
        <w:t xml:space="preserve"> – iznose 2.150.528,92 eura, manji su za 68,97% u odnosu na isto razdoblje prethodne godine  i čine  64% planiranih rashoda.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421 – Građevinski objekti</w:t>
      </w:r>
      <w:r w:rsidRPr="000C36FF">
        <w:rPr>
          <w:rFonts w:ascii="Times New Roman" w:hAnsi="Times New Roman" w:cs="Times New Roman"/>
          <w:b/>
        </w:rPr>
        <w:t xml:space="preserve"> </w:t>
      </w:r>
      <w:r w:rsidRPr="000C36FF">
        <w:rPr>
          <w:rFonts w:ascii="Times New Roman" w:hAnsi="Times New Roman" w:cs="Times New Roman"/>
        </w:rPr>
        <w:t xml:space="preserve">– odnosi se na troškove voditelja projekta, provedbu postupaka javne nabave za medicinsku opremu, izradu trajne informacijske ploče te grafički dizajn interijera za Nacionalni rehabilitacijski centar za osobe s bolestima i oštećenjima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 manji su u odnosu na isto razdoblje prethodne godine za 99,5% ili za 6.682.006,79 eura. U poslovnoj 2022. godini troškovi veći zbog izvođenja građevinsko-obrtničkih i ostalih radova. Krajem poslovne 2022. godine izdani Okončani obračun.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422 – Postrojenja i oprema</w:t>
      </w:r>
      <w:r w:rsidRPr="000C36FF">
        <w:rPr>
          <w:rFonts w:ascii="Times New Roman" w:hAnsi="Times New Roman" w:cs="Times New Roman"/>
        </w:rPr>
        <w:t xml:space="preserve"> – iznose 2.099.081,77 eura, veći su u odnosu na prethodno razdoblje 2022. godinu za 879,7% ili za 1.884.816,83 eura. U poslovnoj godini evidentirani troškovi vezani uz nabavu opreme za opremanje novog Nacionalno rehabilitacijskog centra za osobe s bolestima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 </w:t>
      </w:r>
      <w:r w:rsidRPr="000C36FF">
        <w:rPr>
          <w:rFonts w:ascii="Times New Roman" w:hAnsi="Times New Roman" w:cs="Times New Roman"/>
        </w:rPr>
        <w:lastRenderedPageBreak/>
        <w:t xml:space="preserve">a koja se financira iz fondova EU i Ministarstva zdravstva. U istom razdoblju prethodne godine nabavljana je samo nužna i neophodna oprema. Dio opreme koja je nabavljena za ostale potrebe bolnice refundira se iz decentraliziranih sredstava.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423 – Prijevozna sredstva</w:t>
      </w:r>
      <w:r w:rsidRPr="000C36FF">
        <w:rPr>
          <w:rFonts w:ascii="Times New Roman" w:hAnsi="Times New Roman" w:cs="Times New Roman"/>
        </w:rPr>
        <w:t xml:space="preserve"> – u poslovnoj 2023. godini nabavljeno službeno vozilo u iznosu 16.854,16 eura. U istom razdoblju prethodne godine nema evidentirane nabavke vozila.</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451 – Dodatna ulaganja na građevinskim objektima</w:t>
      </w:r>
      <w:r w:rsidRPr="000C36FF">
        <w:rPr>
          <w:rFonts w:ascii="Times New Roman" w:hAnsi="Times New Roman" w:cs="Times New Roman"/>
          <w:b/>
        </w:rPr>
        <w:t xml:space="preserve"> –</w:t>
      </w:r>
      <w:r w:rsidRPr="000C36FF">
        <w:rPr>
          <w:rFonts w:ascii="Times New Roman" w:hAnsi="Times New Roman" w:cs="Times New Roman"/>
        </w:rPr>
        <w:t xml:space="preserve"> u odnosu na isto razdoblje prethodne 2022. godine evidentirano je povećanje za 323,9%, a odnosi se na ulaganja u </w:t>
      </w:r>
      <w:r w:rsidRPr="000C36FF">
        <w:rPr>
          <w:rFonts w:ascii="Times New Roman" w:hAnsi="Times New Roman" w:cs="Times New Roman"/>
          <w:color w:val="000000"/>
        </w:rPr>
        <w:t xml:space="preserve">cjevovod i dizalice topline za objekt </w:t>
      </w:r>
      <w:r w:rsidRPr="000C36FF">
        <w:rPr>
          <w:rFonts w:ascii="Times New Roman" w:hAnsi="Times New Roman" w:cs="Times New Roman"/>
        </w:rPr>
        <w:t>Terme i Minerva te video nadzor za Nacionalno rehabilitacijski centar za osobe s bolestima i oštećenjima</w:t>
      </w:r>
      <w:r w:rsidRPr="0062667A">
        <w:t xml:space="preserve"> </w:t>
      </w:r>
      <w:proofErr w:type="spellStart"/>
      <w:r w:rsidRPr="000C36FF">
        <w:rPr>
          <w:rFonts w:ascii="Times New Roman" w:hAnsi="Times New Roman" w:cs="Times New Roman"/>
        </w:rPr>
        <w:t>kralježnične</w:t>
      </w:r>
      <w:proofErr w:type="spellEnd"/>
      <w:r w:rsidRPr="000C36FF">
        <w:rPr>
          <w:rFonts w:ascii="Times New Roman" w:hAnsi="Times New Roman" w:cs="Times New Roman"/>
        </w:rPr>
        <w:t xml:space="preserve"> moždine. Prethodne godine evidentirani su troškovi za izvršene keramičarske i soboslikarske radove u objektu Minerva.</w:t>
      </w: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b/>
          <w:i/>
        </w:rPr>
        <w:t>54 – Izdaci za otplatu glavnice primljenih kredita i zajmova</w:t>
      </w:r>
      <w:r w:rsidRPr="000C36FF">
        <w:rPr>
          <w:rFonts w:ascii="Times New Roman" w:hAnsi="Times New Roman" w:cs="Times New Roman"/>
        </w:rPr>
        <w:t xml:space="preserve"> – iznose 447.366,48 eura, veći su u odnosu na isto razdoblje prethodne godine za 283,8% ili za 330.797,69 eura. U poslovnoj 2023. godini na naplatu su dospjele obveze po svim investicijskim kreditima za energetsku obnovu objekata Bolnice (prethodne godine obveza po četiri investicijska kredita, poslovne godine obveza i po petom investicijskom kreditu). Otplata glavnice po investicijskim kreditima refundira se iz decentraliziranih sredstava. </w:t>
      </w:r>
    </w:p>
    <w:p w:rsidR="0062667A" w:rsidRPr="000C36FF" w:rsidRDefault="0062667A" w:rsidP="0062667A">
      <w:pPr>
        <w:jc w:val="both"/>
        <w:rPr>
          <w:rFonts w:ascii="Times New Roman" w:hAnsi="Times New Roman" w:cs="Times New Roman"/>
        </w:rPr>
      </w:pPr>
      <w:r w:rsidRPr="000C36FF">
        <w:rPr>
          <w:rFonts w:ascii="Times New Roman" w:hAnsi="Times New Roman" w:cs="Times New Roman"/>
          <w:b/>
          <w:i/>
        </w:rPr>
        <w:t>542 – Otplata glavnice primljenih kredita i zajmova od kreditnih i ostalih financijskih institucija u javnom sektoru</w:t>
      </w:r>
      <w:r w:rsidRPr="000C36FF">
        <w:rPr>
          <w:rFonts w:ascii="Times New Roman" w:hAnsi="Times New Roman" w:cs="Times New Roman"/>
        </w:rPr>
        <w:t xml:space="preserve"> – izdaci iznose 237.782,91 eura a odnose se na otplatu glavnice prema HBOR-u. dok je na otplatu glavnice prema poslovnoj Zagrebačkoj banci evidentiran iznos od 209.583,57 eura. </w:t>
      </w:r>
    </w:p>
    <w:p w:rsidR="0062667A" w:rsidRPr="000C36FF" w:rsidRDefault="0062667A" w:rsidP="0062667A">
      <w:pPr>
        <w:rPr>
          <w:rFonts w:ascii="Times New Roman" w:hAnsi="Times New Roman" w:cs="Times New Roman"/>
        </w:rPr>
      </w:pPr>
      <w:r w:rsidRPr="000C36FF">
        <w:rPr>
          <w:rFonts w:ascii="Times New Roman" w:hAnsi="Times New Roman" w:cs="Times New Roman"/>
          <w:b/>
          <w:i/>
        </w:rPr>
        <w:t>544 – Otplata glavnice primljenih kredita i zajmova od kreditnih i ostalih financijskih institucija izvan javnog sektora</w:t>
      </w:r>
      <w:r w:rsidRPr="000C36FF">
        <w:rPr>
          <w:rFonts w:ascii="Times New Roman" w:hAnsi="Times New Roman" w:cs="Times New Roman"/>
        </w:rPr>
        <w:t xml:space="preserve"> – evidentiran je iznos od 209.583,57 eura, a odnosi se na otplatu glavnice prema  poslovnoj Zagrebačkoj banci.</w:t>
      </w:r>
    </w:p>
    <w:p w:rsidR="0062667A" w:rsidRPr="000C36FF" w:rsidRDefault="0062667A" w:rsidP="0062667A">
      <w:pPr>
        <w:rPr>
          <w:rFonts w:ascii="Times New Roman" w:hAnsi="Times New Roman" w:cs="Times New Roman"/>
        </w:rPr>
      </w:pPr>
    </w:p>
    <w:p w:rsidR="0062667A" w:rsidRPr="000C36FF" w:rsidRDefault="00326A0F" w:rsidP="0062667A">
      <w:pPr>
        <w:rPr>
          <w:rStyle w:val="Naslov2Char"/>
          <w:rFonts w:ascii="Times New Roman" w:hAnsi="Times New Roman" w:cs="Times New Roman"/>
        </w:rPr>
      </w:pPr>
      <w:r w:rsidRPr="000C36FF">
        <w:rPr>
          <w:rStyle w:val="Naslov2Char"/>
          <w:rFonts w:ascii="Times New Roman" w:hAnsi="Times New Roman" w:cs="Times New Roman"/>
        </w:rPr>
        <w:t>VIŠAK/MANJAK PRIHODA</w:t>
      </w:r>
    </w:p>
    <w:p w:rsidR="00851DF2" w:rsidRDefault="00851DF2" w:rsidP="00851DF2">
      <w:pPr>
        <w:spacing w:after="0" w:line="276" w:lineRule="auto"/>
        <w:contextualSpacing/>
        <w:jc w:val="both"/>
        <w:rPr>
          <w:rFonts w:ascii="Times New Roman" w:eastAsia="Calibri" w:hAnsi="Times New Roman" w:cs="Times New Roman"/>
        </w:rPr>
      </w:pPr>
      <w:r w:rsidRPr="00851DF2">
        <w:rPr>
          <w:rFonts w:ascii="Times New Roman" w:eastAsia="Calibri" w:hAnsi="Times New Roman" w:cs="Times New Roman"/>
        </w:rPr>
        <w:t xml:space="preserve">Za razdoblje siječanj – lipanj 2023. godine </w:t>
      </w:r>
      <w:r w:rsidR="0080796F" w:rsidRPr="000C36FF">
        <w:rPr>
          <w:rFonts w:ascii="Times New Roman" w:eastAsia="Calibri" w:hAnsi="Times New Roman" w:cs="Times New Roman"/>
        </w:rPr>
        <w:t xml:space="preserve">evidentirani je </w:t>
      </w:r>
      <w:r w:rsidRPr="00851DF2">
        <w:rPr>
          <w:rFonts w:ascii="Times New Roman" w:eastAsia="Calibri" w:hAnsi="Times New Roman" w:cs="Times New Roman"/>
        </w:rPr>
        <w:t xml:space="preserve">manjak prihoda i primitaka u </w:t>
      </w:r>
      <w:r w:rsidR="0080796F" w:rsidRPr="000C36FF">
        <w:rPr>
          <w:rFonts w:ascii="Times New Roman" w:eastAsia="Calibri" w:hAnsi="Times New Roman" w:cs="Times New Roman"/>
        </w:rPr>
        <w:t>iznosu</w:t>
      </w:r>
      <w:r w:rsidRPr="00851DF2">
        <w:rPr>
          <w:rFonts w:ascii="Times New Roman" w:eastAsia="Calibri" w:hAnsi="Times New Roman" w:cs="Times New Roman"/>
        </w:rPr>
        <w:t xml:space="preserve"> 1.846.082,56 eura. Evidentirani manjak prihoda rezultat je </w:t>
      </w:r>
      <w:proofErr w:type="spellStart"/>
      <w:r w:rsidRPr="00851DF2">
        <w:rPr>
          <w:rFonts w:ascii="Times New Roman" w:eastAsia="Calibri" w:hAnsi="Times New Roman" w:cs="Times New Roman"/>
        </w:rPr>
        <w:t>preknjiženja</w:t>
      </w:r>
      <w:proofErr w:type="spellEnd"/>
      <w:r w:rsidRPr="00851DF2">
        <w:rPr>
          <w:rFonts w:ascii="Times New Roman" w:eastAsia="Calibri" w:hAnsi="Times New Roman" w:cs="Times New Roman"/>
        </w:rPr>
        <w:t xml:space="preserve"> neizvršenja limita za prvih šest mjeseci ove godine u iznosu 419.871,25 eura na obveze sukladno naputku Ministarstva financije te primljenih faktura za opremanje novog Nacionalno rehabilitacijskog centra za osobe s bolestima </w:t>
      </w:r>
      <w:proofErr w:type="spellStart"/>
      <w:r w:rsidRPr="00851DF2">
        <w:rPr>
          <w:rFonts w:ascii="Times New Roman" w:eastAsia="Calibri" w:hAnsi="Times New Roman" w:cs="Times New Roman"/>
        </w:rPr>
        <w:t>kralježnične</w:t>
      </w:r>
      <w:proofErr w:type="spellEnd"/>
      <w:r w:rsidRPr="00851DF2">
        <w:rPr>
          <w:rFonts w:ascii="Times New Roman" w:eastAsia="Calibri" w:hAnsi="Times New Roman" w:cs="Times New Roman"/>
        </w:rPr>
        <w:t xml:space="preserve"> moždine u ukupnom iznosu 1.905.655,00 eura, a za koje još uvijek nisu refundirana sredstva iz planiranih izvora.  U mjesecu lipnju iz EU sredstava refundiran je iznos od 592.172,19 eura, odnosno da su refundirana sva sredstva iz planiranih izvora manjak prihoda iznosio bi 532.599,75 eura.</w:t>
      </w:r>
    </w:p>
    <w:p w:rsidR="00992A2B" w:rsidRPr="000C36FF" w:rsidRDefault="00992A2B" w:rsidP="00851DF2">
      <w:pPr>
        <w:spacing w:after="0" w:line="276" w:lineRule="auto"/>
        <w:contextualSpacing/>
        <w:jc w:val="both"/>
        <w:rPr>
          <w:rFonts w:ascii="Times New Roman" w:eastAsia="Calibri" w:hAnsi="Times New Roman" w:cs="Times New Roman"/>
        </w:rPr>
      </w:pPr>
    </w:p>
    <w:p w:rsidR="001B5F93" w:rsidRDefault="009023EA" w:rsidP="00851DF2">
      <w:pPr>
        <w:spacing w:after="0" w:line="276" w:lineRule="auto"/>
        <w:contextualSpacing/>
        <w:jc w:val="both"/>
        <w:rPr>
          <w:rFonts w:ascii="Times New Roman" w:eastAsia="Calibri" w:hAnsi="Times New Roman" w:cs="Times New Roman"/>
        </w:rPr>
      </w:pPr>
      <w:r>
        <w:rPr>
          <w:rFonts w:ascii="Times New Roman" w:eastAsia="Calibri" w:hAnsi="Times New Roman" w:cs="Times New Roman"/>
        </w:rPr>
        <w:t>P</w:t>
      </w:r>
      <w:r w:rsidR="001B5F93" w:rsidRPr="00851DF2">
        <w:rPr>
          <w:rFonts w:ascii="Times New Roman" w:eastAsia="Calibri" w:hAnsi="Times New Roman" w:cs="Times New Roman"/>
        </w:rPr>
        <w:t xml:space="preserve">reneseni manjak prihoda iz prethodnih godina u tekuću godinu </w:t>
      </w:r>
      <w:r>
        <w:rPr>
          <w:rFonts w:ascii="Times New Roman" w:eastAsia="Calibri" w:hAnsi="Times New Roman" w:cs="Times New Roman"/>
        </w:rPr>
        <w:t xml:space="preserve">iznosi </w:t>
      </w:r>
      <w:r w:rsidR="001B5F93" w:rsidRPr="00851DF2">
        <w:rPr>
          <w:rFonts w:ascii="Times New Roman" w:eastAsia="Calibri" w:hAnsi="Times New Roman" w:cs="Times New Roman"/>
        </w:rPr>
        <w:t>14.031.985,54 eura</w:t>
      </w:r>
      <w:r>
        <w:rPr>
          <w:rFonts w:ascii="Times New Roman" w:eastAsia="Calibri" w:hAnsi="Times New Roman" w:cs="Times New Roman"/>
        </w:rPr>
        <w:t>, a evidentiran je na slijedećim izvorima:</w:t>
      </w:r>
    </w:p>
    <w:p w:rsidR="009023EA" w:rsidRPr="009023EA" w:rsidRDefault="009023EA" w:rsidP="009023EA">
      <w:pPr>
        <w:spacing w:after="0" w:line="240" w:lineRule="auto"/>
        <w:jc w:val="both"/>
        <w:rPr>
          <w:rFonts w:ascii="Times New Roman" w:eastAsia="Times New Roman" w:hAnsi="Times New Roman" w:cs="Times New Roman"/>
          <w:i/>
          <w:lang w:eastAsia="hr-HR"/>
        </w:rPr>
      </w:pPr>
      <w:r w:rsidRPr="009023EA">
        <w:rPr>
          <w:rFonts w:ascii="Times New Roman" w:eastAsia="Times New Roman" w:hAnsi="Times New Roman" w:cs="Times New Roman"/>
          <w:i/>
          <w:lang w:eastAsia="hr-HR"/>
        </w:rPr>
        <w:t xml:space="preserve">Manjak na izvoru 31 – Vlastiti prihodi u iznosu </w:t>
      </w:r>
      <w:r>
        <w:rPr>
          <w:rFonts w:ascii="Times New Roman" w:eastAsia="Times New Roman" w:hAnsi="Times New Roman" w:cs="Times New Roman"/>
          <w:i/>
          <w:lang w:eastAsia="hr-HR"/>
        </w:rPr>
        <w:t>1.944.240,28</w:t>
      </w:r>
      <w:r w:rsidRPr="009023EA">
        <w:rPr>
          <w:rFonts w:ascii="Times New Roman" w:eastAsia="Times New Roman" w:hAnsi="Times New Roman" w:cs="Times New Roman"/>
          <w:i/>
          <w:lang w:eastAsia="hr-HR"/>
        </w:rPr>
        <w:t xml:space="preserve"> </w:t>
      </w:r>
      <w:r>
        <w:rPr>
          <w:rFonts w:ascii="Times New Roman" w:eastAsia="Times New Roman" w:hAnsi="Times New Roman" w:cs="Times New Roman"/>
          <w:i/>
          <w:lang w:eastAsia="hr-HR"/>
        </w:rPr>
        <w:t>eura</w:t>
      </w:r>
      <w:r w:rsidRPr="009023EA">
        <w:rPr>
          <w:rFonts w:ascii="Times New Roman" w:eastAsia="Times New Roman" w:hAnsi="Times New Roman" w:cs="Times New Roman"/>
          <w:i/>
          <w:lang w:eastAsia="hr-HR"/>
        </w:rPr>
        <w:t xml:space="preserve"> </w:t>
      </w:r>
      <w:r>
        <w:rPr>
          <w:rFonts w:ascii="Times New Roman" w:eastAsia="Times New Roman" w:hAnsi="Times New Roman" w:cs="Times New Roman"/>
          <w:i/>
          <w:lang w:eastAsia="hr-HR"/>
        </w:rPr>
        <w:t>rezultat je smanjenog</w:t>
      </w:r>
      <w:r w:rsidRPr="009023EA">
        <w:rPr>
          <w:rFonts w:ascii="Times New Roman" w:eastAsia="Times New Roman" w:hAnsi="Times New Roman" w:cs="Times New Roman"/>
          <w:i/>
          <w:lang w:eastAsia="hr-HR"/>
        </w:rPr>
        <w:t xml:space="preserve"> obim</w:t>
      </w:r>
      <w:r w:rsidR="00992A2B">
        <w:rPr>
          <w:rFonts w:ascii="Times New Roman" w:eastAsia="Times New Roman" w:hAnsi="Times New Roman" w:cs="Times New Roman"/>
          <w:i/>
          <w:lang w:eastAsia="hr-HR"/>
        </w:rPr>
        <w:t>a</w:t>
      </w:r>
      <w:r w:rsidRPr="009023EA">
        <w:rPr>
          <w:rFonts w:ascii="Times New Roman" w:eastAsia="Times New Roman" w:hAnsi="Times New Roman" w:cs="Times New Roman"/>
          <w:i/>
          <w:lang w:eastAsia="hr-HR"/>
        </w:rPr>
        <w:t xml:space="preserve"> poslovanja </w:t>
      </w:r>
      <w:r>
        <w:rPr>
          <w:rFonts w:ascii="Times New Roman" w:eastAsia="Times New Roman" w:hAnsi="Times New Roman" w:cs="Times New Roman"/>
          <w:i/>
          <w:lang w:eastAsia="hr-HR"/>
        </w:rPr>
        <w:t xml:space="preserve">u poslovnoj 2022. godini djelomično zbog </w:t>
      </w:r>
      <w:r w:rsidRPr="009023EA">
        <w:rPr>
          <w:rFonts w:ascii="Times New Roman" w:eastAsia="Times New Roman" w:hAnsi="Times New Roman" w:cs="Times New Roman"/>
          <w:i/>
          <w:lang w:eastAsia="hr-HR"/>
        </w:rPr>
        <w:t>situacij</w:t>
      </w:r>
      <w:r>
        <w:rPr>
          <w:rFonts w:ascii="Times New Roman" w:eastAsia="Times New Roman" w:hAnsi="Times New Roman" w:cs="Times New Roman"/>
          <w:i/>
          <w:lang w:eastAsia="hr-HR"/>
        </w:rPr>
        <w:t>e</w:t>
      </w:r>
      <w:r w:rsidRPr="009023EA">
        <w:rPr>
          <w:rFonts w:ascii="Times New Roman" w:eastAsia="Times New Roman" w:hAnsi="Times New Roman" w:cs="Times New Roman"/>
          <w:i/>
          <w:lang w:eastAsia="hr-HR"/>
        </w:rPr>
        <w:t xml:space="preserve"> vezan</w:t>
      </w:r>
      <w:r>
        <w:rPr>
          <w:rFonts w:ascii="Times New Roman" w:eastAsia="Times New Roman" w:hAnsi="Times New Roman" w:cs="Times New Roman"/>
          <w:i/>
          <w:lang w:eastAsia="hr-HR"/>
        </w:rPr>
        <w:t>e</w:t>
      </w:r>
      <w:r w:rsidRPr="009023EA">
        <w:rPr>
          <w:rFonts w:ascii="Times New Roman" w:eastAsia="Times New Roman" w:hAnsi="Times New Roman" w:cs="Times New Roman"/>
          <w:i/>
          <w:lang w:eastAsia="hr-HR"/>
        </w:rPr>
        <w:t xml:space="preserve"> uz COVID-19</w:t>
      </w:r>
      <w:r>
        <w:rPr>
          <w:rFonts w:ascii="Times New Roman" w:eastAsia="Times New Roman" w:hAnsi="Times New Roman" w:cs="Times New Roman"/>
          <w:i/>
          <w:lang w:eastAsia="hr-HR"/>
        </w:rPr>
        <w:t>, a djelomično zbog straha ljudi, posebice starije populacije od moguće zaraze.</w:t>
      </w:r>
      <w:r w:rsidRPr="009023EA">
        <w:rPr>
          <w:rFonts w:ascii="Times New Roman" w:eastAsia="Times New Roman" w:hAnsi="Times New Roman" w:cs="Times New Roman"/>
          <w:i/>
          <w:lang w:eastAsia="hr-HR"/>
        </w:rPr>
        <w:t xml:space="preserve"> U poslovnoj 202</w:t>
      </w:r>
      <w:r>
        <w:rPr>
          <w:rFonts w:ascii="Times New Roman" w:eastAsia="Times New Roman" w:hAnsi="Times New Roman" w:cs="Times New Roman"/>
          <w:i/>
          <w:lang w:eastAsia="hr-HR"/>
        </w:rPr>
        <w:t>3</w:t>
      </w:r>
      <w:r w:rsidRPr="009023EA">
        <w:rPr>
          <w:rFonts w:ascii="Times New Roman" w:eastAsia="Times New Roman" w:hAnsi="Times New Roman" w:cs="Times New Roman"/>
          <w:i/>
          <w:lang w:eastAsia="hr-HR"/>
        </w:rPr>
        <w:t>. godini prihodi od tržišta rastu</w:t>
      </w:r>
      <w:r>
        <w:rPr>
          <w:rFonts w:ascii="Times New Roman" w:eastAsia="Times New Roman" w:hAnsi="Times New Roman" w:cs="Times New Roman"/>
          <w:i/>
          <w:lang w:eastAsia="hr-HR"/>
        </w:rPr>
        <w:t xml:space="preserve"> u svim segmentima te se očekuje da će isti do kraja poslovne 2023. godine evidentirani manjak biti znatno manji, ako ne i zatvoren u cijelosti, a na što ukazuju i rezultati polugodišnjih izvještaja</w:t>
      </w:r>
      <w:r w:rsidRPr="009023EA">
        <w:rPr>
          <w:rFonts w:ascii="Times New Roman" w:eastAsia="Times New Roman" w:hAnsi="Times New Roman" w:cs="Times New Roman"/>
          <w:i/>
          <w:color w:val="000000"/>
          <w:lang w:eastAsia="hr-HR"/>
        </w:rPr>
        <w:t>.</w:t>
      </w:r>
    </w:p>
    <w:p w:rsidR="009023EA" w:rsidRPr="009023EA" w:rsidRDefault="009023EA" w:rsidP="009023EA">
      <w:pPr>
        <w:spacing w:after="0" w:line="240" w:lineRule="auto"/>
        <w:jc w:val="both"/>
        <w:rPr>
          <w:rFonts w:ascii="Times New Roman" w:eastAsia="Times New Roman" w:hAnsi="Times New Roman" w:cs="Times New Roman"/>
          <w:i/>
          <w:lang w:eastAsia="hr-HR"/>
        </w:rPr>
      </w:pPr>
    </w:p>
    <w:p w:rsidR="009023EA" w:rsidRPr="009023EA" w:rsidRDefault="009023EA" w:rsidP="009023EA">
      <w:pPr>
        <w:spacing w:after="0" w:line="240" w:lineRule="auto"/>
        <w:jc w:val="both"/>
        <w:rPr>
          <w:rFonts w:ascii="Times New Roman" w:eastAsia="Times New Roman" w:hAnsi="Times New Roman" w:cs="Times New Roman"/>
          <w:i/>
          <w:lang w:eastAsia="hr-HR"/>
        </w:rPr>
      </w:pPr>
      <w:r w:rsidRPr="009023EA">
        <w:rPr>
          <w:rFonts w:ascii="Times New Roman" w:eastAsia="Times New Roman" w:hAnsi="Times New Roman" w:cs="Times New Roman"/>
          <w:i/>
          <w:lang w:eastAsia="hr-HR"/>
        </w:rPr>
        <w:t xml:space="preserve">Manjak na izvoru 43 – Prihodi za posebne namjene u iznosu </w:t>
      </w:r>
      <w:r>
        <w:rPr>
          <w:rFonts w:ascii="Times New Roman" w:eastAsia="Times New Roman" w:hAnsi="Times New Roman" w:cs="Times New Roman"/>
          <w:i/>
          <w:lang w:eastAsia="hr-HR"/>
        </w:rPr>
        <w:t>10.252.247,75</w:t>
      </w:r>
      <w:r w:rsidRPr="009023EA">
        <w:rPr>
          <w:rFonts w:ascii="Times New Roman" w:eastAsia="Times New Roman" w:hAnsi="Times New Roman" w:cs="Times New Roman"/>
          <w:i/>
          <w:lang w:eastAsia="hr-HR"/>
        </w:rPr>
        <w:t xml:space="preserve"> </w:t>
      </w:r>
      <w:r>
        <w:rPr>
          <w:rFonts w:ascii="Times New Roman" w:eastAsia="Times New Roman" w:hAnsi="Times New Roman" w:cs="Times New Roman"/>
          <w:i/>
          <w:lang w:eastAsia="hr-HR"/>
        </w:rPr>
        <w:t>eura</w:t>
      </w:r>
      <w:r w:rsidRPr="009023EA">
        <w:rPr>
          <w:rFonts w:ascii="Times New Roman" w:eastAsia="Times New Roman" w:hAnsi="Times New Roman" w:cs="Times New Roman"/>
          <w:i/>
          <w:lang w:eastAsia="hr-HR"/>
        </w:rPr>
        <w:t xml:space="preserve"> odnosi se na slabije punjenje bolničkih kapaciteta uzrokovanih negativnom posljedicom COVID-19. Utjecaj COVID-19 krize se smanjuje, ali još uvijek ne u planiranim veličinama</w:t>
      </w:r>
      <w:r w:rsidRPr="009023EA">
        <w:rPr>
          <w:rFonts w:ascii="Times New Roman" w:eastAsia="Times New Roman" w:hAnsi="Times New Roman" w:cs="Times New Roman"/>
          <w:i/>
          <w:color w:val="000000"/>
          <w:lang w:eastAsia="hr-HR"/>
        </w:rPr>
        <w:t>.</w:t>
      </w:r>
      <w:r>
        <w:rPr>
          <w:rFonts w:ascii="Times New Roman" w:eastAsia="Times New Roman" w:hAnsi="Times New Roman" w:cs="Times New Roman"/>
          <w:i/>
          <w:color w:val="000000"/>
          <w:lang w:eastAsia="hr-HR"/>
        </w:rPr>
        <w:t xml:space="preserve"> Isti je rezultat neizvršenja limitiranih sredstava proteklih </w:t>
      </w:r>
      <w:proofErr w:type="spellStart"/>
      <w:r>
        <w:rPr>
          <w:rFonts w:ascii="Times New Roman" w:eastAsia="Times New Roman" w:hAnsi="Times New Roman" w:cs="Times New Roman"/>
          <w:i/>
          <w:color w:val="000000"/>
          <w:lang w:eastAsia="hr-HR"/>
        </w:rPr>
        <w:t>pandemijskih</w:t>
      </w:r>
      <w:proofErr w:type="spellEnd"/>
      <w:r>
        <w:rPr>
          <w:rFonts w:ascii="Times New Roman" w:eastAsia="Times New Roman" w:hAnsi="Times New Roman" w:cs="Times New Roman"/>
          <w:i/>
          <w:color w:val="000000"/>
          <w:lang w:eastAsia="hr-HR"/>
        </w:rPr>
        <w:t xml:space="preserve"> godina te se očekuje da će Vlada iznaći način kako da se isto iskaže u prihod, odnosno da se rasknjiže kumulirane obveze prethodnih godina.</w:t>
      </w:r>
    </w:p>
    <w:p w:rsidR="009023EA" w:rsidRPr="009023EA" w:rsidRDefault="009023EA" w:rsidP="009023EA">
      <w:pPr>
        <w:spacing w:after="0" w:line="240" w:lineRule="auto"/>
        <w:jc w:val="both"/>
        <w:rPr>
          <w:rFonts w:ascii="Times New Roman" w:eastAsia="Times New Roman" w:hAnsi="Times New Roman" w:cs="Times New Roman"/>
          <w:i/>
          <w:lang w:eastAsia="hr-HR"/>
        </w:rPr>
      </w:pPr>
    </w:p>
    <w:p w:rsidR="009023EA" w:rsidRPr="009023EA" w:rsidRDefault="009023EA" w:rsidP="009023EA">
      <w:pPr>
        <w:spacing w:after="0" w:line="240" w:lineRule="auto"/>
        <w:jc w:val="both"/>
        <w:rPr>
          <w:rFonts w:ascii="Times New Roman" w:eastAsia="Times New Roman" w:hAnsi="Times New Roman" w:cs="Times New Roman"/>
          <w:i/>
          <w:lang w:eastAsia="hr-HR"/>
        </w:rPr>
      </w:pPr>
      <w:r w:rsidRPr="009023EA">
        <w:rPr>
          <w:rFonts w:ascii="Times New Roman" w:eastAsia="Times New Roman" w:hAnsi="Times New Roman" w:cs="Times New Roman"/>
          <w:i/>
          <w:lang w:eastAsia="hr-HR"/>
        </w:rPr>
        <w:lastRenderedPageBreak/>
        <w:t xml:space="preserve">Manjak na izvoru 52 – Ostale pomoći u iznosu </w:t>
      </w:r>
      <w:r>
        <w:rPr>
          <w:rFonts w:ascii="Times New Roman" w:eastAsia="Times New Roman" w:hAnsi="Times New Roman" w:cs="Times New Roman"/>
          <w:i/>
          <w:lang w:eastAsia="hr-HR"/>
        </w:rPr>
        <w:t>2.225.511,95</w:t>
      </w:r>
      <w:r w:rsidRPr="009023EA">
        <w:rPr>
          <w:rFonts w:ascii="Times New Roman" w:eastAsia="Times New Roman" w:hAnsi="Times New Roman" w:cs="Times New Roman"/>
          <w:i/>
          <w:lang w:eastAsia="hr-HR"/>
        </w:rPr>
        <w:t xml:space="preserve"> </w:t>
      </w:r>
      <w:r>
        <w:rPr>
          <w:rFonts w:ascii="Times New Roman" w:eastAsia="Times New Roman" w:hAnsi="Times New Roman" w:cs="Times New Roman"/>
          <w:i/>
          <w:lang w:eastAsia="hr-HR"/>
        </w:rPr>
        <w:t>eura</w:t>
      </w:r>
      <w:r w:rsidRPr="009023EA">
        <w:rPr>
          <w:rFonts w:ascii="Times New Roman" w:eastAsia="Times New Roman" w:hAnsi="Times New Roman" w:cs="Times New Roman"/>
          <w:i/>
          <w:lang w:eastAsia="hr-HR"/>
        </w:rPr>
        <w:t xml:space="preserve"> odnos</w:t>
      </w:r>
      <w:r w:rsidR="00992A2B">
        <w:rPr>
          <w:rFonts w:ascii="Times New Roman" w:eastAsia="Times New Roman" w:hAnsi="Times New Roman" w:cs="Times New Roman"/>
          <w:i/>
          <w:lang w:eastAsia="hr-HR"/>
        </w:rPr>
        <w:t>e</w:t>
      </w:r>
      <w:r w:rsidRPr="009023EA">
        <w:rPr>
          <w:rFonts w:ascii="Times New Roman" w:eastAsia="Times New Roman" w:hAnsi="Times New Roman" w:cs="Times New Roman"/>
          <w:i/>
          <w:lang w:eastAsia="hr-HR"/>
        </w:rPr>
        <w:t xml:space="preserve"> se na građevinsko-obrtničke radove na izgradnji novog Nacionalno rehabilitacijskog centra za osobe s bolestima </w:t>
      </w:r>
      <w:proofErr w:type="spellStart"/>
      <w:r w:rsidRPr="009023EA">
        <w:rPr>
          <w:rFonts w:ascii="Times New Roman" w:eastAsia="Times New Roman" w:hAnsi="Times New Roman" w:cs="Times New Roman"/>
          <w:i/>
          <w:lang w:eastAsia="hr-HR"/>
        </w:rPr>
        <w:t>kralježnične</w:t>
      </w:r>
      <w:proofErr w:type="spellEnd"/>
      <w:r w:rsidRPr="009023EA">
        <w:rPr>
          <w:rFonts w:ascii="Times New Roman" w:eastAsia="Times New Roman" w:hAnsi="Times New Roman" w:cs="Times New Roman"/>
          <w:i/>
          <w:lang w:eastAsia="hr-HR"/>
        </w:rPr>
        <w:t xml:space="preserve"> moždine (Okončana situacija) završenih tijekom poslovne 2022. godine, a isti </w:t>
      </w:r>
      <w:r w:rsidR="00992A2B">
        <w:rPr>
          <w:rFonts w:ascii="Times New Roman" w:eastAsia="Times New Roman" w:hAnsi="Times New Roman" w:cs="Times New Roman"/>
          <w:i/>
          <w:lang w:eastAsia="hr-HR"/>
        </w:rPr>
        <w:t>do kraja mjeseca lipnja</w:t>
      </w:r>
      <w:r w:rsidRPr="009023EA">
        <w:rPr>
          <w:rFonts w:ascii="Times New Roman" w:eastAsia="Times New Roman" w:hAnsi="Times New Roman" w:cs="Times New Roman"/>
          <w:i/>
          <w:lang w:eastAsia="hr-HR"/>
        </w:rPr>
        <w:t xml:space="preserve"> refundirani iz </w:t>
      </w:r>
      <w:r w:rsidR="00992A2B">
        <w:rPr>
          <w:rFonts w:ascii="Times New Roman" w:eastAsia="Times New Roman" w:hAnsi="Times New Roman" w:cs="Times New Roman"/>
          <w:i/>
          <w:lang w:eastAsia="hr-HR"/>
        </w:rPr>
        <w:t xml:space="preserve">planiranog </w:t>
      </w:r>
      <w:r w:rsidRPr="009023EA">
        <w:rPr>
          <w:rFonts w:ascii="Times New Roman" w:eastAsia="Times New Roman" w:hAnsi="Times New Roman" w:cs="Times New Roman"/>
          <w:i/>
          <w:lang w:eastAsia="hr-HR"/>
        </w:rPr>
        <w:t>izvora (Ministarstvo zdravstva).</w:t>
      </w:r>
      <w:r>
        <w:rPr>
          <w:rFonts w:ascii="Times New Roman" w:eastAsia="Times New Roman" w:hAnsi="Times New Roman" w:cs="Times New Roman"/>
          <w:i/>
          <w:lang w:eastAsia="hr-HR"/>
        </w:rPr>
        <w:t xml:space="preserve"> </w:t>
      </w:r>
      <w:r w:rsidR="00992A2B">
        <w:rPr>
          <w:rFonts w:ascii="Times New Roman" w:eastAsia="Times New Roman" w:hAnsi="Times New Roman" w:cs="Times New Roman"/>
          <w:i/>
          <w:lang w:eastAsia="hr-HR"/>
        </w:rPr>
        <w:t>Kroz protekle mjesece u pregovorima sa Ministarstvom zdravstva iznađen je model kako bi nam navedena sredstva mogla biti refundirana, te se do konca mjeseca srpnja očekuje doznaka kojom ć</w:t>
      </w:r>
      <w:r>
        <w:rPr>
          <w:rFonts w:ascii="Times New Roman" w:eastAsia="Times New Roman" w:hAnsi="Times New Roman" w:cs="Times New Roman"/>
          <w:i/>
          <w:lang w:eastAsia="hr-HR"/>
        </w:rPr>
        <w:t xml:space="preserve">e </w:t>
      </w:r>
      <w:r w:rsidR="00992A2B">
        <w:rPr>
          <w:rFonts w:ascii="Times New Roman" w:eastAsia="Times New Roman" w:hAnsi="Times New Roman" w:cs="Times New Roman"/>
          <w:i/>
          <w:lang w:eastAsia="hr-HR"/>
        </w:rPr>
        <w:t xml:space="preserve">se </w:t>
      </w:r>
      <w:r>
        <w:rPr>
          <w:rFonts w:ascii="Times New Roman" w:eastAsia="Times New Roman" w:hAnsi="Times New Roman" w:cs="Times New Roman"/>
          <w:i/>
          <w:lang w:eastAsia="hr-HR"/>
        </w:rPr>
        <w:t>navedeni manjak u cijelosti zatvoriti.</w:t>
      </w:r>
    </w:p>
    <w:p w:rsidR="009023EA" w:rsidRPr="009023EA" w:rsidRDefault="009023EA" w:rsidP="009023EA">
      <w:pPr>
        <w:spacing w:after="0" w:line="240" w:lineRule="auto"/>
        <w:jc w:val="both"/>
        <w:rPr>
          <w:rFonts w:ascii="Times New Roman" w:eastAsia="Times New Roman" w:hAnsi="Times New Roman" w:cs="Times New Roman"/>
          <w:i/>
          <w:lang w:eastAsia="hr-HR"/>
        </w:rPr>
      </w:pPr>
    </w:p>
    <w:p w:rsidR="009023EA" w:rsidRDefault="009023EA" w:rsidP="009023EA">
      <w:pPr>
        <w:spacing w:after="0" w:line="276" w:lineRule="auto"/>
        <w:contextualSpacing/>
        <w:jc w:val="both"/>
        <w:rPr>
          <w:rFonts w:ascii="Times New Roman" w:eastAsia="Times New Roman" w:hAnsi="Times New Roman" w:cs="Times New Roman"/>
          <w:i/>
          <w:lang w:eastAsia="hr-HR"/>
        </w:rPr>
      </w:pPr>
      <w:r w:rsidRPr="009023EA">
        <w:rPr>
          <w:rFonts w:ascii="Times New Roman" w:eastAsia="Times New Roman" w:hAnsi="Times New Roman" w:cs="Times New Roman"/>
          <w:i/>
          <w:lang w:eastAsia="hr-HR"/>
        </w:rPr>
        <w:t xml:space="preserve">Višak na izvoru 81 – Primici od zaduživanja – </w:t>
      </w:r>
      <w:r w:rsidR="00E00305">
        <w:rPr>
          <w:rFonts w:ascii="Times New Roman" w:eastAsia="Times New Roman" w:hAnsi="Times New Roman" w:cs="Times New Roman"/>
          <w:i/>
          <w:lang w:eastAsia="hr-HR"/>
        </w:rPr>
        <w:t>u iznosu 390.014,46 eura, o</w:t>
      </w:r>
      <w:r w:rsidRPr="009023EA">
        <w:rPr>
          <w:rFonts w:ascii="Times New Roman" w:eastAsia="Times New Roman" w:hAnsi="Times New Roman" w:cs="Times New Roman"/>
          <w:i/>
          <w:lang w:eastAsia="hr-HR"/>
        </w:rPr>
        <w:t xml:space="preserve">dnosi se na kratkoročna sredstva temeljem Ugovora o okvirnom kreditu  </w:t>
      </w:r>
      <w:proofErr w:type="spellStart"/>
      <w:r w:rsidRPr="009023EA">
        <w:rPr>
          <w:rFonts w:ascii="Times New Roman" w:eastAsia="Times New Roman" w:hAnsi="Times New Roman" w:cs="Times New Roman"/>
          <w:i/>
          <w:lang w:eastAsia="hr-HR"/>
        </w:rPr>
        <w:t>cash</w:t>
      </w:r>
      <w:proofErr w:type="spellEnd"/>
      <w:r w:rsidRPr="009023EA">
        <w:rPr>
          <w:rFonts w:ascii="Times New Roman" w:eastAsia="Times New Roman" w:hAnsi="Times New Roman" w:cs="Times New Roman"/>
          <w:i/>
          <w:lang w:eastAsia="hr-HR"/>
        </w:rPr>
        <w:t xml:space="preserve"> </w:t>
      </w:r>
      <w:proofErr w:type="spellStart"/>
      <w:r w:rsidRPr="009023EA">
        <w:rPr>
          <w:rFonts w:ascii="Times New Roman" w:eastAsia="Times New Roman" w:hAnsi="Times New Roman" w:cs="Times New Roman"/>
          <w:i/>
          <w:lang w:eastAsia="hr-HR"/>
        </w:rPr>
        <w:t>poolu</w:t>
      </w:r>
      <w:proofErr w:type="spellEnd"/>
      <w:r w:rsidRPr="009023EA">
        <w:rPr>
          <w:rFonts w:ascii="Times New Roman" w:eastAsia="Times New Roman" w:hAnsi="Times New Roman" w:cs="Times New Roman"/>
          <w:i/>
          <w:lang w:eastAsia="hr-HR"/>
        </w:rPr>
        <w:t xml:space="preserve"> sklopljenog sa poslovnom Zagrebačkom bankom u drugoj polovici mjeseca listopada 2022. godine na rok od godine dana i iznos od </w:t>
      </w:r>
      <w:r w:rsidR="00E03995">
        <w:rPr>
          <w:rFonts w:ascii="Times New Roman" w:eastAsia="Times New Roman" w:hAnsi="Times New Roman" w:cs="Times New Roman"/>
          <w:i/>
          <w:lang w:eastAsia="hr-HR"/>
        </w:rPr>
        <w:t>1.459.950,89eura</w:t>
      </w:r>
      <w:r w:rsidRPr="009023EA">
        <w:rPr>
          <w:rFonts w:ascii="Times New Roman" w:eastAsia="Times New Roman" w:hAnsi="Times New Roman" w:cs="Times New Roman"/>
          <w:i/>
          <w:lang w:eastAsia="hr-HR"/>
        </w:rPr>
        <w:t>.</w:t>
      </w:r>
      <w:r w:rsidR="00E03995">
        <w:rPr>
          <w:rFonts w:ascii="Times New Roman" w:eastAsia="Times New Roman" w:hAnsi="Times New Roman" w:cs="Times New Roman"/>
          <w:i/>
          <w:lang w:eastAsia="hr-HR"/>
        </w:rPr>
        <w:t xml:space="preserve"> Isti služi u svrhu održavanja likvidnosti i obrtnih sredstava zbog različite dinamike priljeva novčanih sredstava posebice u godinama velikog investicijskog ulaganja u građevinske objekte i opremu.</w:t>
      </w:r>
    </w:p>
    <w:p w:rsidR="00E03995" w:rsidRDefault="00E03995" w:rsidP="009023EA">
      <w:pPr>
        <w:spacing w:after="0" w:line="276" w:lineRule="auto"/>
        <w:contextualSpacing/>
        <w:jc w:val="both"/>
        <w:rPr>
          <w:rFonts w:ascii="Times New Roman" w:eastAsia="Times New Roman" w:hAnsi="Times New Roman" w:cs="Times New Roman"/>
          <w:i/>
          <w:lang w:eastAsia="hr-HR"/>
        </w:rPr>
      </w:pPr>
    </w:p>
    <w:p w:rsidR="009023EA" w:rsidRDefault="009023EA" w:rsidP="009023EA">
      <w:pPr>
        <w:spacing w:after="0" w:line="276" w:lineRule="auto"/>
        <w:contextualSpacing/>
        <w:jc w:val="both"/>
        <w:rPr>
          <w:rFonts w:ascii="Times New Roman" w:eastAsia="Calibri" w:hAnsi="Times New Roman" w:cs="Times New Roman"/>
        </w:rPr>
      </w:pPr>
      <w:r w:rsidRPr="00851DF2">
        <w:rPr>
          <w:rFonts w:ascii="Times New Roman" w:eastAsia="Calibri" w:hAnsi="Times New Roman" w:cs="Times New Roman"/>
        </w:rPr>
        <w:t>Budući da je pre</w:t>
      </w:r>
      <w:bookmarkStart w:id="0" w:name="_GoBack"/>
      <w:bookmarkEnd w:id="0"/>
      <w:r w:rsidRPr="00851DF2">
        <w:rPr>
          <w:rFonts w:ascii="Times New Roman" w:eastAsia="Calibri" w:hAnsi="Times New Roman" w:cs="Times New Roman"/>
        </w:rPr>
        <w:t>neseni manjak prihoda iz prethodnih godina u tekuću godinu u iznosu 14.031.9</w:t>
      </w:r>
      <w:r w:rsidR="00E03995">
        <w:rPr>
          <w:rFonts w:ascii="Times New Roman" w:eastAsia="Calibri" w:hAnsi="Times New Roman" w:cs="Times New Roman"/>
        </w:rPr>
        <w:t xml:space="preserve">85,54 eura, a manjak tekuće godine u iznosu 1.846.082,56 eura, </w:t>
      </w:r>
      <w:r w:rsidRPr="00851DF2">
        <w:rPr>
          <w:rFonts w:ascii="Times New Roman" w:eastAsia="Calibri" w:hAnsi="Times New Roman" w:cs="Times New Roman"/>
        </w:rPr>
        <w:t>korigirani manjak prihoda iznosi 15.878.068,10 eura.</w:t>
      </w:r>
    </w:p>
    <w:p w:rsidR="0062667A" w:rsidRDefault="0062667A" w:rsidP="0062667A"/>
    <w:p w:rsidR="009025B0" w:rsidRDefault="009025B0" w:rsidP="0062667A"/>
    <w:p w:rsidR="009025B0" w:rsidRDefault="009025B0" w:rsidP="0062667A"/>
    <w:p w:rsidR="000C36FF" w:rsidRDefault="000C36FF" w:rsidP="0062667A"/>
    <w:p w:rsidR="000C36FF" w:rsidRDefault="000C36FF" w:rsidP="0062667A"/>
    <w:p w:rsidR="000C36FF" w:rsidRDefault="000C36FF" w:rsidP="0062667A"/>
    <w:p w:rsidR="000C36FF" w:rsidRDefault="000C36FF"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992A2B" w:rsidRDefault="00992A2B" w:rsidP="0062667A"/>
    <w:p w:rsidR="0062667A" w:rsidRPr="0062667A" w:rsidRDefault="0062667A" w:rsidP="0062667A"/>
    <w:p w:rsidR="0062667A" w:rsidRPr="009025B0" w:rsidRDefault="0062667A" w:rsidP="009025B0">
      <w:pPr>
        <w:pStyle w:val="Naslov2"/>
        <w:numPr>
          <w:ilvl w:val="0"/>
          <w:numId w:val="4"/>
        </w:numPr>
        <w:rPr>
          <w:rFonts w:ascii="Times New Roman" w:eastAsia="Times New Roman" w:hAnsi="Times New Roman" w:cs="Times New Roman"/>
          <w:sz w:val="24"/>
          <w:szCs w:val="24"/>
          <w:lang w:eastAsia="hr-HR"/>
        </w:rPr>
      </w:pPr>
      <w:r w:rsidRPr="009025B0">
        <w:rPr>
          <w:rFonts w:ascii="Times New Roman" w:eastAsia="Times New Roman" w:hAnsi="Times New Roman" w:cs="Times New Roman"/>
          <w:sz w:val="24"/>
          <w:szCs w:val="24"/>
          <w:lang w:eastAsia="hr-HR"/>
        </w:rPr>
        <w:lastRenderedPageBreak/>
        <w:t>OBRAZLOŽENJE POSEBNOG DIJELA GODIŠNJEG IZVJEŠTAJA O IZVRŠENJU FINANCIJSKOG PLANA</w:t>
      </w:r>
    </w:p>
    <w:p w:rsidR="0062667A" w:rsidRPr="009025B0" w:rsidRDefault="0062667A" w:rsidP="0062667A">
      <w:pPr>
        <w:ind w:left="-426"/>
        <w:jc w:val="center"/>
        <w:rPr>
          <w:rFonts w:ascii="Times New Roman" w:eastAsia="Times New Roman" w:hAnsi="Times New Roman" w:cs="Times New Roman"/>
          <w:b/>
          <w:bCs/>
          <w:color w:val="000000"/>
          <w:sz w:val="24"/>
          <w:szCs w:val="24"/>
          <w:lang w:eastAsia="hr-HR"/>
        </w:rPr>
      </w:pPr>
    </w:p>
    <w:p w:rsidR="0062667A" w:rsidRPr="000C36FF" w:rsidRDefault="009025B0" w:rsidP="0062667A">
      <w:pPr>
        <w:ind w:left="-426"/>
        <w:rPr>
          <w:rFonts w:ascii="Times New Roman" w:eastAsia="Times New Roman" w:hAnsi="Times New Roman" w:cs="Times New Roman"/>
          <w:bCs/>
          <w:i/>
          <w:lang w:eastAsia="hr-HR"/>
        </w:rPr>
      </w:pPr>
      <w:r w:rsidRPr="000C36FF">
        <w:rPr>
          <w:rFonts w:ascii="Times New Roman" w:eastAsia="Times New Roman" w:hAnsi="Times New Roman" w:cs="Times New Roman"/>
          <w:bCs/>
          <w:i/>
          <w:lang w:eastAsia="hr-HR"/>
        </w:rPr>
        <w:t>U posebnom dijelu financijskog plana rashodi i izdaci raspoređeni su kroz slijedeće programe koji se sastoje od aktivnosti i projekata kako slijedi:</w:t>
      </w:r>
    </w:p>
    <w:p w:rsidR="0062667A" w:rsidRPr="000C36FF" w:rsidRDefault="0062667A" w:rsidP="0062667A">
      <w:pPr>
        <w:ind w:left="-426"/>
        <w:rPr>
          <w:rFonts w:ascii="Times New Roman" w:eastAsia="Times New Roman" w:hAnsi="Times New Roman" w:cs="Times New Roman"/>
          <w:b/>
          <w:bCs/>
          <w:lang w:eastAsia="hr-HR"/>
        </w:rPr>
      </w:pPr>
      <w:r w:rsidRPr="000C36FF">
        <w:rPr>
          <w:rFonts w:ascii="Times New Roman" w:eastAsia="Times New Roman" w:hAnsi="Times New Roman" w:cs="Times New Roman"/>
          <w:b/>
          <w:bCs/>
          <w:lang w:eastAsia="hr-HR"/>
        </w:rPr>
        <w:t>1. PROGRAM: 1140 PROGRAMI EUROPSKIH POSLOVA</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 xml:space="preserve">Projekti: </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1. K114005 Spinalni centar SB za medicinsku rehabilitaciju</w:t>
      </w:r>
    </w:p>
    <w:p w:rsidR="0062667A" w:rsidRPr="000C36FF" w:rsidRDefault="0062667A" w:rsidP="0062667A">
      <w:pPr>
        <w:ind w:left="-426"/>
        <w:rPr>
          <w:rFonts w:ascii="Times New Roman" w:eastAsia="Times New Roman" w:hAnsi="Times New Roman" w:cs="Times New Roman"/>
          <w:b/>
          <w:bCs/>
          <w:lang w:eastAsia="hr-HR"/>
        </w:rPr>
      </w:pPr>
      <w:r w:rsidRPr="000C36FF">
        <w:rPr>
          <w:rFonts w:ascii="Times New Roman" w:eastAsia="Times New Roman" w:hAnsi="Times New Roman" w:cs="Times New Roman"/>
          <w:b/>
          <w:bCs/>
          <w:lang w:eastAsia="hr-HR"/>
        </w:rPr>
        <w:t>2. PROGRAM: 1290 PROGRAMI U ZDRAVSTVENOJ ZAŠTITI IZNAD ZAKONSKOG STANDARDA</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Projekti:</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A129008 Nabava opreme i dodatna ulaganja u zdravstvene objekte</w:t>
      </w:r>
    </w:p>
    <w:p w:rsidR="0062667A" w:rsidRPr="000C36FF" w:rsidRDefault="0062667A" w:rsidP="0062667A">
      <w:pPr>
        <w:ind w:left="-426"/>
        <w:rPr>
          <w:rFonts w:ascii="Times New Roman" w:eastAsia="Times New Roman" w:hAnsi="Times New Roman" w:cs="Times New Roman"/>
          <w:b/>
          <w:bCs/>
          <w:lang w:eastAsia="hr-HR"/>
        </w:rPr>
      </w:pPr>
      <w:r w:rsidRPr="000C36FF">
        <w:rPr>
          <w:rFonts w:ascii="Times New Roman" w:eastAsia="Times New Roman" w:hAnsi="Times New Roman" w:cs="Times New Roman"/>
          <w:b/>
          <w:bCs/>
          <w:lang w:eastAsia="hr-HR"/>
        </w:rPr>
        <w:t xml:space="preserve">3. PROGRAM: </w:t>
      </w:r>
      <w:r w:rsidR="004C0B38" w:rsidRPr="000C36FF">
        <w:rPr>
          <w:rFonts w:ascii="Times New Roman" w:eastAsia="Times New Roman" w:hAnsi="Times New Roman" w:cs="Times New Roman"/>
          <w:b/>
          <w:bCs/>
          <w:lang w:eastAsia="hr-HR"/>
        </w:rPr>
        <w:t xml:space="preserve">1320 </w:t>
      </w:r>
      <w:r w:rsidRPr="000C36FF">
        <w:rPr>
          <w:rFonts w:ascii="Times New Roman" w:eastAsia="Times New Roman" w:hAnsi="Times New Roman" w:cs="Times New Roman"/>
          <w:b/>
          <w:bCs/>
          <w:lang w:eastAsia="hr-HR"/>
        </w:rPr>
        <w:t>JAVNE USTANOVE U ZDRAVSTVU</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Projekti:</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1. A132001 Redovna djelatnost ustanova u zdravstvu</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2. K132001 Investicijsko ulaganje-izgradnja objekata, nabava opreme</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3. K132002 Informatizacija</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4. T132001 Investicijsko i tekuće održavanje objekata i opreme</w:t>
      </w:r>
    </w:p>
    <w:p w:rsidR="0062667A" w:rsidRPr="000C36FF" w:rsidRDefault="0062667A" w:rsidP="0062667A">
      <w:pPr>
        <w:ind w:left="-426"/>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5. T132002 Otplata kredita</w:t>
      </w:r>
    </w:p>
    <w:tbl>
      <w:tblPr>
        <w:tblpPr w:leftFromText="180" w:rightFromText="180" w:vertAnchor="text" w:horzAnchor="margin" w:tblpXSpec="center" w:tblpY="451"/>
        <w:tblW w:w="9866" w:type="dxa"/>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9866"/>
      </w:tblGrid>
      <w:tr w:rsidR="0062667A" w:rsidRPr="004C0B38" w:rsidTr="00B7649B">
        <w:trPr>
          <w:trHeight w:val="182"/>
          <w:tblCellSpacing w:w="20" w:type="dxa"/>
        </w:trPr>
        <w:tc>
          <w:tcPr>
            <w:tcW w:w="9786" w:type="dxa"/>
            <w:shd w:val="clear" w:color="auto" w:fill="BDD6EE"/>
          </w:tcPr>
          <w:p w:rsidR="0062667A" w:rsidRPr="004C0B38" w:rsidRDefault="0062667A" w:rsidP="0062667A">
            <w:pPr>
              <w:keepNext/>
              <w:pageBreakBefore/>
              <w:spacing w:before="240" w:after="240" w:line="240" w:lineRule="auto"/>
              <w:outlineLvl w:val="0"/>
              <w:rPr>
                <w:rFonts w:ascii="Times New Roman" w:eastAsia="Times New Roman" w:hAnsi="Times New Roman" w:cs="Times New Roman"/>
                <w:b/>
                <w:bCs/>
                <w:sz w:val="18"/>
                <w:szCs w:val="18"/>
                <w:lang w:eastAsia="hr-HR"/>
              </w:rPr>
            </w:pPr>
            <w:r w:rsidRPr="004C0B38">
              <w:rPr>
                <w:rFonts w:ascii="Times New Roman" w:eastAsia="Times New Roman" w:hAnsi="Times New Roman" w:cs="Times New Roman"/>
                <w:b/>
                <w:bCs/>
                <w:sz w:val="18"/>
                <w:szCs w:val="18"/>
                <w:lang w:eastAsia="hr-HR"/>
              </w:rPr>
              <w:lastRenderedPageBreak/>
              <w:t xml:space="preserve">PROGRAM: </w:t>
            </w:r>
            <w:r w:rsidR="004C0B38" w:rsidRPr="004C0B38">
              <w:rPr>
                <w:rFonts w:ascii="Times New Roman" w:eastAsia="Times New Roman" w:hAnsi="Times New Roman" w:cs="Times New Roman"/>
                <w:b/>
                <w:bCs/>
                <w:sz w:val="18"/>
                <w:szCs w:val="18"/>
                <w:lang w:eastAsia="hr-HR"/>
              </w:rPr>
              <w:t xml:space="preserve">K114005 </w:t>
            </w:r>
            <w:r w:rsidRPr="004C0B38">
              <w:rPr>
                <w:rFonts w:ascii="Times New Roman" w:eastAsia="Times New Roman" w:hAnsi="Times New Roman" w:cs="Times New Roman"/>
                <w:b/>
                <w:bCs/>
                <w:sz w:val="18"/>
                <w:szCs w:val="18"/>
                <w:lang w:eastAsia="hr-HR"/>
              </w:rPr>
              <w:t>PROGRAMI EUROPSKIH POSLOVA</w:t>
            </w:r>
          </w:p>
        </w:tc>
      </w:tr>
      <w:tr w:rsidR="0062667A" w:rsidRPr="004C0B38" w:rsidTr="00B7649B">
        <w:trPr>
          <w:trHeight w:val="9682"/>
          <w:tblCellSpacing w:w="20" w:type="dxa"/>
        </w:trPr>
        <w:tc>
          <w:tcPr>
            <w:tcW w:w="9786" w:type="dxa"/>
            <w:shd w:val="clear" w:color="auto" w:fill="auto"/>
          </w:tcPr>
          <w:p w:rsidR="0062667A" w:rsidRPr="004C0B38" w:rsidRDefault="0062667A" w:rsidP="0062667A">
            <w:pPr>
              <w:spacing w:after="0" w:line="240" w:lineRule="auto"/>
              <w:jc w:val="both"/>
              <w:rPr>
                <w:rFonts w:ascii="Times New Roman" w:eastAsia="Times New Roman" w:hAnsi="Times New Roman" w:cs="Times New Roman"/>
                <w:b/>
                <w:bCs/>
                <w:sz w:val="20"/>
                <w:szCs w:val="20"/>
                <w:lang w:eastAsia="hr-HR"/>
              </w:rPr>
            </w:pPr>
            <w:r w:rsidRPr="004C0B38">
              <w:rPr>
                <w:rFonts w:ascii="Times New Roman" w:eastAsia="Times New Roman" w:hAnsi="Times New Roman" w:cs="Times New Roman"/>
                <w:b/>
                <w:bCs/>
                <w:sz w:val="20"/>
                <w:szCs w:val="20"/>
                <w:lang w:eastAsia="hr-HR"/>
              </w:rPr>
              <w:t>OPIS PROGRAMA: Spinalni centar SB za medicinsku rehabilitaciju</w:t>
            </w:r>
          </w:p>
          <w:p w:rsidR="0062667A" w:rsidRPr="004C0B38" w:rsidRDefault="0062667A" w:rsidP="0062667A">
            <w:pPr>
              <w:spacing w:after="0" w:line="240" w:lineRule="auto"/>
              <w:jc w:val="both"/>
              <w:rPr>
                <w:rFonts w:ascii="Times New Roman" w:eastAsia="Times New Roman" w:hAnsi="Times New Roman" w:cs="Times New Roman"/>
                <w:b/>
                <w:bCs/>
                <w:sz w:val="20"/>
                <w:szCs w:val="20"/>
                <w:lang w:eastAsia="hr-HR"/>
              </w:rPr>
            </w:pPr>
          </w:p>
          <w:p w:rsidR="0062667A" w:rsidRPr="000C36FF" w:rsidRDefault="0062667A" w:rsidP="0062667A">
            <w:pPr>
              <w:spacing w:after="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U okviru ovog programa planirana su sredstva za opremanje Nacionalnog rehabilitacijskog centra za osobe s bolestima i oštećenjima </w:t>
            </w:r>
            <w:proofErr w:type="spellStart"/>
            <w:r w:rsidRPr="000C36FF">
              <w:rPr>
                <w:rFonts w:ascii="Times New Roman" w:eastAsia="Times New Roman" w:hAnsi="Times New Roman" w:cs="Times New Roman"/>
                <w:lang w:eastAsia="hr-HR"/>
              </w:rPr>
              <w:t>kralježnične</w:t>
            </w:r>
            <w:proofErr w:type="spellEnd"/>
            <w:r w:rsidRPr="000C36FF">
              <w:rPr>
                <w:rFonts w:ascii="Times New Roman" w:eastAsia="Times New Roman" w:hAnsi="Times New Roman" w:cs="Times New Roman"/>
                <w:lang w:eastAsia="hr-HR"/>
              </w:rPr>
              <w:t xml:space="preserve"> moždine (referentni broj projekta: KK.08.1.2.04.0002).</w:t>
            </w:r>
          </w:p>
          <w:p w:rsidR="0062667A" w:rsidRPr="000C36FF" w:rsidRDefault="0062667A" w:rsidP="0062667A">
            <w:pPr>
              <w:spacing w:after="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Ukupno je izvršeno 1.905.655,06 eura, od toga se iznos od 34.592,99 eura odnosi na troškove voditelja projekta, uslugu provedbe postupka javne nabave za nabavu medicinske opreme, izradu trajne informacijske ploče te grafički dizajn signalizacije i dekoracije za navedeni centar. Ostatak od 1.871.062,07 eura odnosi se na nabavu uredske opreme i namještaja, komunikacijske opreme, opreme za održavanje i zaštitu , medicinske i laboratorijske opreme te uređaja, strojeva i opreme za ostale namjene.</w:t>
            </w:r>
          </w:p>
          <w:p w:rsidR="0062667A" w:rsidRPr="000C36FF" w:rsidRDefault="0062667A" w:rsidP="0062667A">
            <w:pPr>
              <w:spacing w:after="0"/>
              <w:jc w:val="both"/>
              <w:rPr>
                <w:rFonts w:ascii="Times New Roman" w:eastAsia="Times New Roman" w:hAnsi="Times New Roman" w:cs="Times New Roman"/>
                <w:bCs/>
                <w:color w:val="000000"/>
                <w:lang w:eastAsia="hr-HR"/>
              </w:rPr>
            </w:pPr>
            <w:r w:rsidRPr="000C36FF">
              <w:rPr>
                <w:rFonts w:ascii="Times New Roman" w:hAnsi="Times New Roman" w:cs="Times New Roman"/>
                <w:b/>
              </w:rPr>
              <w:t>Po izvorima financiranja</w:t>
            </w:r>
            <w:r w:rsidRPr="000C36FF">
              <w:rPr>
                <w:rFonts w:ascii="Times New Roman" w:hAnsi="Times New Roman" w:cs="Times New Roman"/>
              </w:rPr>
              <w:t>:</w:t>
            </w:r>
          </w:p>
          <w:p w:rsidR="0062667A" w:rsidRPr="000C36FF" w:rsidRDefault="0062667A" w:rsidP="0062667A">
            <w:pPr>
              <w:numPr>
                <w:ilvl w:val="0"/>
                <w:numId w:val="2"/>
              </w:numPr>
              <w:spacing w:after="0" w:line="240" w:lineRule="auto"/>
              <w:contextualSpacing/>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Vlastita sredstva = 34.592,99 eura</w:t>
            </w:r>
          </w:p>
          <w:p w:rsidR="0062667A" w:rsidRPr="000C36FF" w:rsidRDefault="0062667A" w:rsidP="0062667A">
            <w:pPr>
              <w:numPr>
                <w:ilvl w:val="0"/>
                <w:numId w:val="2"/>
              </w:numPr>
              <w:spacing w:after="0" w:line="240" w:lineRule="auto"/>
              <w:contextualSpacing/>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Pomoći EU = 1.531.335,50 eura te </w:t>
            </w:r>
          </w:p>
          <w:p w:rsidR="0062667A" w:rsidRPr="000C36FF" w:rsidRDefault="0062667A" w:rsidP="0062667A">
            <w:pPr>
              <w:numPr>
                <w:ilvl w:val="0"/>
                <w:numId w:val="2"/>
              </w:numPr>
              <w:spacing w:after="0" w:line="240" w:lineRule="auto"/>
              <w:contextualSpacing/>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Ostale pomoći (Ministarstvo zdravstva) = 339.726,57 eura.</w:t>
            </w:r>
          </w:p>
          <w:p w:rsidR="0062667A" w:rsidRPr="004C0B38" w:rsidRDefault="0062667A" w:rsidP="0062667A">
            <w:pPr>
              <w:spacing w:after="0" w:line="240" w:lineRule="auto"/>
              <w:jc w:val="both"/>
              <w:rPr>
                <w:rFonts w:ascii="Times New Roman" w:eastAsia="Times New Roman" w:hAnsi="Times New Roman" w:cs="Times New Roman"/>
                <w:sz w:val="20"/>
                <w:szCs w:val="20"/>
                <w:lang w:eastAsia="hr-HR"/>
              </w:rPr>
            </w:pPr>
          </w:p>
          <w:tbl>
            <w:tblPr>
              <w:tblW w:w="9243" w:type="dxa"/>
              <w:tblLook w:val="04A0" w:firstRow="1" w:lastRow="0" w:firstColumn="1" w:lastColumn="0" w:noHBand="0" w:noVBand="1"/>
            </w:tblPr>
            <w:tblGrid>
              <w:gridCol w:w="1391"/>
              <w:gridCol w:w="4070"/>
              <w:gridCol w:w="1682"/>
              <w:gridCol w:w="2100"/>
            </w:tblGrid>
            <w:tr w:rsidR="0062667A" w:rsidRPr="004C0B38" w:rsidTr="00B7649B">
              <w:trPr>
                <w:trHeight w:hRule="exact" w:val="387"/>
              </w:trPr>
              <w:tc>
                <w:tcPr>
                  <w:tcW w:w="1391"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proofErr w:type="spellStart"/>
                  <w:r w:rsidRPr="004C0B38">
                    <w:rPr>
                      <w:rFonts w:ascii="Times New Roman" w:eastAsia="Times New Roman" w:hAnsi="Times New Roman" w:cs="Times New Roman"/>
                      <w:b/>
                      <w:bCs/>
                      <w:color w:val="000000"/>
                      <w:sz w:val="20"/>
                      <w:szCs w:val="20"/>
                      <w:lang w:eastAsia="hr-HR"/>
                    </w:rPr>
                    <w:t>R.b</w:t>
                  </w:r>
                  <w:proofErr w:type="spellEnd"/>
                  <w:r w:rsidRPr="004C0B38">
                    <w:rPr>
                      <w:rFonts w:ascii="Times New Roman" w:eastAsia="Times New Roman" w:hAnsi="Times New Roman" w:cs="Times New Roman"/>
                      <w:b/>
                      <w:bCs/>
                      <w:color w:val="000000"/>
                      <w:sz w:val="20"/>
                      <w:szCs w:val="20"/>
                      <w:lang w:eastAsia="hr-HR"/>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Naziv aktivnosti/projekta</w:t>
                  </w:r>
                </w:p>
              </w:tc>
              <w:tc>
                <w:tcPr>
                  <w:tcW w:w="1682" w:type="dxa"/>
                  <w:tcBorders>
                    <w:top w:val="single" w:sz="8" w:space="0" w:color="auto"/>
                    <w:left w:val="nil"/>
                    <w:bottom w:val="nil"/>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xml:space="preserve">Plan </w:t>
                  </w:r>
                </w:p>
              </w:tc>
              <w:tc>
                <w:tcPr>
                  <w:tcW w:w="2100" w:type="dxa"/>
                  <w:tcBorders>
                    <w:top w:val="single" w:sz="8" w:space="0" w:color="auto"/>
                    <w:left w:val="nil"/>
                    <w:bottom w:val="nil"/>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Ostvarenje</w:t>
                  </w:r>
                </w:p>
              </w:tc>
            </w:tr>
            <w:tr w:rsidR="0062667A" w:rsidRPr="004C0B38" w:rsidTr="00B7649B">
              <w:trPr>
                <w:trHeight w:val="276"/>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93135F">
                  <w:pPr>
                    <w:framePr w:hSpace="180" w:wrap="around" w:vAnchor="text" w:hAnchor="margin" w:xAlign="center" w:y="451"/>
                    <w:spacing w:after="0" w:line="240" w:lineRule="auto"/>
                    <w:rPr>
                      <w:rFonts w:ascii="Times New Roman" w:eastAsia="Times New Roman" w:hAnsi="Times New Roman" w:cs="Times New Roman"/>
                      <w:b/>
                      <w:bCs/>
                      <w:color w:val="000000"/>
                      <w:sz w:val="20"/>
                      <w:szCs w:val="20"/>
                      <w:lang w:eastAsia="hr-HR"/>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93135F">
                  <w:pPr>
                    <w:framePr w:hSpace="180" w:wrap="around" w:vAnchor="text" w:hAnchor="margin" w:xAlign="center" w:y="451"/>
                    <w:spacing w:after="0" w:line="240" w:lineRule="auto"/>
                    <w:rPr>
                      <w:rFonts w:ascii="Times New Roman" w:eastAsia="Times New Roman" w:hAnsi="Times New Roman" w:cs="Times New Roman"/>
                      <w:b/>
                      <w:bCs/>
                      <w:color w:val="000000"/>
                      <w:sz w:val="20"/>
                      <w:szCs w:val="20"/>
                      <w:lang w:eastAsia="hr-HR"/>
                    </w:rPr>
                  </w:pPr>
                </w:p>
              </w:tc>
              <w:tc>
                <w:tcPr>
                  <w:tcW w:w="1682"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2023.</w:t>
                  </w:r>
                </w:p>
              </w:tc>
              <w:tc>
                <w:tcPr>
                  <w:tcW w:w="2100"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2023.</w:t>
                  </w:r>
                </w:p>
              </w:tc>
            </w:tr>
            <w:tr w:rsidR="0062667A" w:rsidRPr="004C0B38" w:rsidTr="00B7649B">
              <w:trPr>
                <w:trHeight w:hRule="exact" w:val="643"/>
              </w:trPr>
              <w:tc>
                <w:tcPr>
                  <w:tcW w:w="1391"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1.</w:t>
                  </w:r>
                </w:p>
              </w:tc>
              <w:tc>
                <w:tcPr>
                  <w:tcW w:w="40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93135F">
                  <w:pPr>
                    <w:framePr w:hSpace="180" w:wrap="around" w:vAnchor="text" w:hAnchor="margin" w:xAlign="center" w:y="451"/>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Spinalni centar SB za medicinsku rehabilitaciju</w:t>
                  </w:r>
                </w:p>
              </w:tc>
              <w:tc>
                <w:tcPr>
                  <w:tcW w:w="1682" w:type="dxa"/>
                  <w:tcBorders>
                    <w:top w:val="nil"/>
                    <w:left w:val="nil"/>
                    <w:bottom w:val="single" w:sz="8" w:space="0" w:color="auto"/>
                    <w:right w:val="single" w:sz="8" w:space="0" w:color="auto"/>
                  </w:tcBorders>
                  <w:shd w:val="clear" w:color="auto" w:fill="auto"/>
                  <w:vAlign w:val="center"/>
                </w:tcPr>
                <w:p w:rsidR="0062667A" w:rsidRPr="004C0B38" w:rsidRDefault="0062667A" w:rsidP="0093135F">
                  <w:pPr>
                    <w:framePr w:hSpace="180" w:wrap="around" w:vAnchor="text" w:hAnchor="margin" w:xAlign="center" w:y="451"/>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2.705.183,00</w:t>
                  </w:r>
                </w:p>
              </w:tc>
              <w:tc>
                <w:tcPr>
                  <w:tcW w:w="2100" w:type="dxa"/>
                  <w:tcBorders>
                    <w:top w:val="nil"/>
                    <w:left w:val="nil"/>
                    <w:bottom w:val="single" w:sz="8" w:space="0" w:color="auto"/>
                    <w:right w:val="single" w:sz="8" w:space="0" w:color="auto"/>
                  </w:tcBorders>
                  <w:shd w:val="clear" w:color="auto" w:fill="auto"/>
                  <w:vAlign w:val="center"/>
                </w:tcPr>
                <w:p w:rsidR="0062667A" w:rsidRPr="004C0B38" w:rsidRDefault="0062667A" w:rsidP="0093135F">
                  <w:pPr>
                    <w:framePr w:hSpace="180" w:wrap="around" w:vAnchor="text" w:hAnchor="margin" w:xAlign="center" w:y="451"/>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1.905.655,06</w:t>
                  </w:r>
                </w:p>
              </w:tc>
            </w:tr>
            <w:tr w:rsidR="0062667A" w:rsidRPr="004C0B38" w:rsidTr="00B7649B">
              <w:trPr>
                <w:trHeight w:hRule="exact" w:val="276"/>
              </w:trPr>
              <w:tc>
                <w:tcPr>
                  <w:tcW w:w="1391" w:type="dxa"/>
                  <w:tcBorders>
                    <w:top w:val="nil"/>
                    <w:left w:val="single" w:sz="8" w:space="0" w:color="auto"/>
                    <w:bottom w:val="single" w:sz="8" w:space="0" w:color="auto"/>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w:t>
                  </w:r>
                </w:p>
              </w:tc>
              <w:tc>
                <w:tcPr>
                  <w:tcW w:w="4070"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93135F">
                  <w:pPr>
                    <w:framePr w:hSpace="180" w:wrap="around" w:vAnchor="text" w:hAnchor="margin" w:xAlign="center" w:y="451"/>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Ukupno program:</w:t>
                  </w:r>
                </w:p>
              </w:tc>
              <w:tc>
                <w:tcPr>
                  <w:tcW w:w="1682" w:type="dxa"/>
                  <w:tcBorders>
                    <w:top w:val="nil"/>
                    <w:left w:val="nil"/>
                    <w:bottom w:val="single" w:sz="8" w:space="0" w:color="auto"/>
                    <w:right w:val="single" w:sz="8" w:space="0" w:color="auto"/>
                  </w:tcBorders>
                  <w:shd w:val="clear" w:color="000000" w:fill="E6E6E6"/>
                  <w:vAlign w:val="center"/>
                </w:tcPr>
                <w:p w:rsidR="0062667A" w:rsidRPr="004C0B38" w:rsidRDefault="0062667A" w:rsidP="0093135F">
                  <w:pPr>
                    <w:framePr w:hSpace="180" w:wrap="around" w:vAnchor="text" w:hAnchor="margin" w:xAlign="center" w:y="451"/>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2.705.183,00</w:t>
                  </w:r>
                </w:p>
              </w:tc>
              <w:tc>
                <w:tcPr>
                  <w:tcW w:w="2100" w:type="dxa"/>
                  <w:tcBorders>
                    <w:top w:val="nil"/>
                    <w:left w:val="nil"/>
                    <w:bottom w:val="single" w:sz="8" w:space="0" w:color="auto"/>
                    <w:right w:val="single" w:sz="8" w:space="0" w:color="auto"/>
                  </w:tcBorders>
                  <w:shd w:val="clear" w:color="000000" w:fill="E6E6E6"/>
                  <w:vAlign w:val="center"/>
                </w:tcPr>
                <w:p w:rsidR="0062667A" w:rsidRPr="004C0B38" w:rsidRDefault="0062667A" w:rsidP="0093135F">
                  <w:pPr>
                    <w:framePr w:hSpace="180" w:wrap="around" w:vAnchor="text" w:hAnchor="margin" w:xAlign="center" w:y="451"/>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1.905.655,06</w:t>
                  </w:r>
                </w:p>
              </w:tc>
            </w:tr>
          </w:tbl>
          <w:p w:rsidR="0062667A" w:rsidRPr="004C0B38" w:rsidRDefault="0062667A" w:rsidP="0062667A">
            <w:pPr>
              <w:spacing w:after="0" w:line="240" w:lineRule="auto"/>
              <w:jc w:val="both"/>
              <w:rPr>
                <w:rFonts w:ascii="Times New Roman" w:eastAsia="Times New Roman" w:hAnsi="Times New Roman" w:cs="Times New Roman"/>
                <w:sz w:val="20"/>
                <w:szCs w:val="20"/>
                <w:lang w:eastAsia="hr-HR"/>
              </w:rPr>
            </w:pPr>
          </w:p>
          <w:p w:rsidR="0062667A" w:rsidRPr="004C0B38" w:rsidRDefault="0062667A" w:rsidP="0062667A">
            <w:pPr>
              <w:spacing w:after="0" w:line="240" w:lineRule="auto"/>
              <w:jc w:val="both"/>
              <w:rPr>
                <w:rFonts w:ascii="Times New Roman" w:eastAsia="Times New Roman" w:hAnsi="Times New Roman" w:cs="Times New Roman"/>
                <w:sz w:val="20"/>
                <w:szCs w:val="20"/>
                <w:lang w:eastAsia="hr-HR"/>
              </w:rPr>
            </w:pPr>
          </w:p>
          <w:p w:rsidR="0062667A" w:rsidRPr="004C0B38" w:rsidRDefault="0062667A" w:rsidP="0062667A">
            <w:pPr>
              <w:spacing w:after="0" w:line="240" w:lineRule="auto"/>
              <w:jc w:val="both"/>
              <w:rPr>
                <w:rFonts w:ascii="Times New Roman" w:eastAsia="Times New Roman" w:hAnsi="Times New Roman" w:cs="Times New Roman"/>
                <w:sz w:val="20"/>
                <w:szCs w:val="20"/>
                <w:lang w:eastAsia="hr-HR"/>
              </w:rPr>
            </w:pPr>
          </w:p>
          <w:tbl>
            <w:tblPr>
              <w:tblStyle w:val="Reetkatablice"/>
              <w:tblW w:w="0" w:type="auto"/>
              <w:jc w:val="center"/>
              <w:tblLook w:val="04A0" w:firstRow="1" w:lastRow="0" w:firstColumn="1" w:lastColumn="0" w:noHBand="0" w:noVBand="1"/>
            </w:tblPr>
            <w:tblGrid>
              <w:gridCol w:w="1116"/>
              <w:gridCol w:w="1194"/>
              <w:gridCol w:w="1237"/>
              <w:gridCol w:w="1360"/>
              <w:gridCol w:w="1383"/>
              <w:gridCol w:w="1499"/>
              <w:gridCol w:w="1751"/>
            </w:tblGrid>
            <w:tr w:rsidR="0062667A" w:rsidRPr="004C0B38" w:rsidTr="00B7649B">
              <w:trPr>
                <w:trHeight w:val="635"/>
                <w:jc w:val="center"/>
              </w:trPr>
              <w:tc>
                <w:tcPr>
                  <w:tcW w:w="1097" w:type="dxa"/>
                  <w:shd w:val="clear" w:color="auto" w:fill="D9D9D9" w:themeFill="background1" w:themeFillShade="D9"/>
                  <w:vAlign w:val="center"/>
                </w:tcPr>
                <w:p w:rsidR="0062667A" w:rsidRPr="004C0B38" w:rsidRDefault="0062667A" w:rsidP="0093135F">
                  <w:pPr>
                    <w:framePr w:hSpace="180" w:wrap="around" w:vAnchor="text" w:hAnchor="margin" w:xAlign="center" w:y="451"/>
                    <w:spacing w:before="120" w:after="120"/>
                    <w:jc w:val="both"/>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Pokazatelj</w:t>
                  </w:r>
                </w:p>
              </w:tc>
              <w:tc>
                <w:tcPr>
                  <w:tcW w:w="1109" w:type="dxa"/>
                  <w:shd w:val="clear" w:color="auto" w:fill="D9D9D9" w:themeFill="background1" w:themeFillShade="D9"/>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Definicija</w:t>
                  </w:r>
                </w:p>
              </w:tc>
              <w:tc>
                <w:tcPr>
                  <w:tcW w:w="1253" w:type="dxa"/>
                  <w:shd w:val="clear" w:color="auto" w:fill="D9D9D9" w:themeFill="background1" w:themeFillShade="D9"/>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Jedinica</w:t>
                  </w:r>
                </w:p>
              </w:tc>
              <w:tc>
                <w:tcPr>
                  <w:tcW w:w="1374" w:type="dxa"/>
                  <w:shd w:val="clear" w:color="auto" w:fill="D9D9D9" w:themeFill="background1" w:themeFillShade="D9"/>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Polazna vrijednost</w:t>
                  </w:r>
                </w:p>
              </w:tc>
              <w:tc>
                <w:tcPr>
                  <w:tcW w:w="1402" w:type="dxa"/>
                  <w:shd w:val="clear" w:color="auto" w:fill="D9D9D9" w:themeFill="background1" w:themeFillShade="D9"/>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Izvor podataka</w:t>
                  </w:r>
                </w:p>
              </w:tc>
              <w:tc>
                <w:tcPr>
                  <w:tcW w:w="1521" w:type="dxa"/>
                  <w:shd w:val="clear" w:color="auto" w:fill="D9D9D9" w:themeFill="background1" w:themeFillShade="D9"/>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Ciljana vrijednost 2023.</w:t>
                  </w:r>
                </w:p>
              </w:tc>
              <w:tc>
                <w:tcPr>
                  <w:tcW w:w="1784" w:type="dxa"/>
                  <w:shd w:val="clear" w:color="auto" w:fill="D9D9D9" w:themeFill="background1" w:themeFillShade="D9"/>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Ostvarena vrijednost                 I – VI 2023.</w:t>
                  </w:r>
                </w:p>
              </w:tc>
            </w:tr>
            <w:tr w:rsidR="0062667A" w:rsidRPr="004C0B38" w:rsidTr="00B7649B">
              <w:trPr>
                <w:jc w:val="center"/>
              </w:trPr>
              <w:tc>
                <w:tcPr>
                  <w:tcW w:w="1097" w:type="dxa"/>
                  <w:vAlign w:val="center"/>
                </w:tcPr>
                <w:p w:rsidR="0062667A" w:rsidRPr="004C0B38" w:rsidRDefault="0062667A" w:rsidP="0093135F">
                  <w:pPr>
                    <w:framePr w:hSpace="180" w:wrap="around" w:vAnchor="text" w:hAnchor="margin" w:xAlign="center" w:y="451"/>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kreveta</w:t>
                  </w:r>
                </w:p>
              </w:tc>
              <w:tc>
                <w:tcPr>
                  <w:tcW w:w="1109" w:type="dxa"/>
                </w:tcPr>
                <w:p w:rsidR="0062667A" w:rsidRPr="004C0B38" w:rsidRDefault="0062667A" w:rsidP="0093135F">
                  <w:pPr>
                    <w:framePr w:hSpace="180" w:wrap="around" w:vAnchor="text" w:hAnchor="margin" w:xAlign="center" w:y="451"/>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 xml:space="preserve">Kvalitetnije pružanje skrbi pacijentima s ozljedama </w:t>
                  </w:r>
                  <w:proofErr w:type="spellStart"/>
                  <w:r w:rsidRPr="004C0B38">
                    <w:rPr>
                      <w:rFonts w:ascii="Times New Roman" w:eastAsia="Times New Roman" w:hAnsi="Times New Roman" w:cs="Times New Roman"/>
                      <w:sz w:val="20"/>
                      <w:szCs w:val="20"/>
                      <w:lang w:eastAsia="hr-HR"/>
                    </w:rPr>
                    <w:t>kralježnične</w:t>
                  </w:r>
                  <w:proofErr w:type="spellEnd"/>
                  <w:r w:rsidRPr="004C0B38">
                    <w:rPr>
                      <w:rFonts w:ascii="Times New Roman" w:eastAsia="Times New Roman" w:hAnsi="Times New Roman" w:cs="Times New Roman"/>
                      <w:sz w:val="20"/>
                      <w:szCs w:val="20"/>
                      <w:lang w:eastAsia="hr-HR"/>
                    </w:rPr>
                    <w:t xml:space="preserve"> moždine</w:t>
                  </w:r>
                </w:p>
              </w:tc>
              <w:tc>
                <w:tcPr>
                  <w:tcW w:w="1253" w:type="dxa"/>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kreveta</w:t>
                  </w:r>
                </w:p>
              </w:tc>
              <w:tc>
                <w:tcPr>
                  <w:tcW w:w="1374" w:type="dxa"/>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0</w:t>
                  </w:r>
                </w:p>
              </w:tc>
              <w:tc>
                <w:tcPr>
                  <w:tcW w:w="1402" w:type="dxa"/>
                  <w:vAlign w:val="center"/>
                </w:tcPr>
                <w:p w:rsidR="0062667A" w:rsidRPr="004C0B38" w:rsidRDefault="0062667A" w:rsidP="0093135F">
                  <w:pPr>
                    <w:framePr w:hSpace="180" w:wrap="around" w:vAnchor="text" w:hAnchor="margin" w:xAlign="center" w:y="451"/>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Ustanova u zdravstvu</w:t>
                  </w:r>
                </w:p>
              </w:tc>
              <w:tc>
                <w:tcPr>
                  <w:tcW w:w="1521" w:type="dxa"/>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50</w:t>
                  </w:r>
                </w:p>
              </w:tc>
              <w:tc>
                <w:tcPr>
                  <w:tcW w:w="1784" w:type="dxa"/>
                  <w:vAlign w:val="center"/>
                </w:tcPr>
                <w:p w:rsidR="0062667A" w:rsidRPr="004C0B38" w:rsidRDefault="0062667A" w:rsidP="0093135F">
                  <w:pPr>
                    <w:framePr w:hSpace="180" w:wrap="around" w:vAnchor="text" w:hAnchor="margin" w:xAlign="center" w:y="451"/>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0</w:t>
                  </w:r>
                </w:p>
              </w:tc>
            </w:tr>
          </w:tbl>
          <w:p w:rsidR="0062667A" w:rsidRPr="004C0B38" w:rsidRDefault="0062667A" w:rsidP="0062667A">
            <w:pPr>
              <w:spacing w:after="0" w:line="240" w:lineRule="auto"/>
              <w:jc w:val="both"/>
              <w:rPr>
                <w:rFonts w:ascii="Times New Roman" w:eastAsia="Times New Roman" w:hAnsi="Times New Roman" w:cs="Times New Roman"/>
                <w:sz w:val="20"/>
                <w:szCs w:val="20"/>
                <w:lang w:eastAsia="hr-HR"/>
              </w:rPr>
            </w:pPr>
          </w:p>
          <w:p w:rsidR="0062667A" w:rsidRPr="000C36FF" w:rsidRDefault="0062667A" w:rsidP="0062667A">
            <w:pPr>
              <w:spacing w:after="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Nacionalni rehabilitacijski centar za osobe s bolestima i oštećenjima </w:t>
            </w:r>
            <w:proofErr w:type="spellStart"/>
            <w:r w:rsidRPr="000C36FF">
              <w:rPr>
                <w:rFonts w:ascii="Times New Roman" w:eastAsia="Times New Roman" w:hAnsi="Times New Roman" w:cs="Times New Roman"/>
                <w:lang w:eastAsia="hr-HR"/>
              </w:rPr>
              <w:t>kralježnične</w:t>
            </w:r>
            <w:proofErr w:type="spellEnd"/>
            <w:r w:rsidRPr="000C36FF">
              <w:rPr>
                <w:rFonts w:ascii="Times New Roman" w:eastAsia="Times New Roman" w:hAnsi="Times New Roman" w:cs="Times New Roman"/>
                <w:lang w:eastAsia="hr-HR"/>
              </w:rPr>
              <w:t xml:space="preserve"> moždine je u završnoj fazi opremanja te još nije stavljen u funkciju. Krajnji rok za provedbu projekta je 31.08.2023. godine, otvaranje novog centra očekuje se početkom mjeseca rujna.</w:t>
            </w:r>
          </w:p>
        </w:tc>
      </w:tr>
    </w:tbl>
    <w:p w:rsidR="0062667A" w:rsidRPr="0062667A" w:rsidRDefault="0062667A" w:rsidP="0062667A">
      <w:pPr>
        <w:rPr>
          <w:rFonts w:eastAsia="Times New Roman" w:cstheme="minorHAnsi"/>
          <w:bCs/>
          <w:color w:val="000000"/>
          <w:lang w:eastAsia="hr-HR"/>
        </w:rPr>
      </w:pPr>
    </w:p>
    <w:p w:rsidR="0062667A" w:rsidRPr="0062667A" w:rsidRDefault="0062667A" w:rsidP="0062667A">
      <w:pPr>
        <w:rPr>
          <w:rFonts w:eastAsia="Times New Roman" w:cstheme="minorHAnsi"/>
          <w:lang w:eastAsia="hr-HR"/>
        </w:rPr>
      </w:pPr>
    </w:p>
    <w:p w:rsidR="0062667A" w:rsidRPr="0062667A" w:rsidRDefault="0062667A" w:rsidP="0062667A">
      <w:pPr>
        <w:rPr>
          <w:rFonts w:eastAsia="Times New Roman" w:cstheme="minorHAnsi"/>
          <w:lang w:eastAsia="hr-HR"/>
        </w:rPr>
      </w:pPr>
    </w:p>
    <w:p w:rsidR="0062667A" w:rsidRPr="0062667A" w:rsidRDefault="0062667A" w:rsidP="0062667A">
      <w:pPr>
        <w:tabs>
          <w:tab w:val="left" w:pos="2220"/>
        </w:tabs>
        <w:rPr>
          <w:rFonts w:eastAsia="Times New Roman" w:cstheme="minorHAnsi"/>
          <w:lang w:eastAsia="hr-HR"/>
        </w:rPr>
      </w:pPr>
    </w:p>
    <w:tbl>
      <w:tblPr>
        <w:tblW w:w="10179"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6A6A6"/>
        </w:tblBorders>
        <w:tblLook w:val="01E0" w:firstRow="1" w:lastRow="1" w:firstColumn="1" w:lastColumn="1" w:noHBand="0" w:noVBand="0"/>
      </w:tblPr>
      <w:tblGrid>
        <w:gridCol w:w="10184"/>
      </w:tblGrid>
      <w:tr w:rsidR="0062667A" w:rsidRPr="004C0B38" w:rsidTr="00B7649B">
        <w:trPr>
          <w:trHeight w:val="177"/>
          <w:tblCellSpacing w:w="20" w:type="dxa"/>
        </w:trPr>
        <w:tc>
          <w:tcPr>
            <w:tcW w:w="10099" w:type="dxa"/>
            <w:shd w:val="clear" w:color="auto" w:fill="BDD6EE"/>
          </w:tcPr>
          <w:p w:rsidR="0062667A" w:rsidRPr="004C0B38" w:rsidRDefault="0062667A" w:rsidP="0062667A">
            <w:pPr>
              <w:keepNext/>
              <w:pageBreakBefore/>
              <w:spacing w:before="240" w:after="240" w:line="240" w:lineRule="auto"/>
              <w:outlineLvl w:val="0"/>
              <w:rPr>
                <w:rFonts w:ascii="Times New Roman" w:eastAsia="Times New Roman" w:hAnsi="Times New Roman" w:cs="Times New Roman"/>
                <w:b/>
                <w:bCs/>
                <w:sz w:val="20"/>
                <w:szCs w:val="20"/>
                <w:lang w:eastAsia="hr-HR"/>
              </w:rPr>
            </w:pPr>
            <w:r w:rsidRPr="004C0B38">
              <w:rPr>
                <w:rFonts w:ascii="Times New Roman" w:eastAsia="Times New Roman" w:hAnsi="Times New Roman" w:cs="Times New Roman"/>
                <w:b/>
                <w:bCs/>
                <w:sz w:val="20"/>
                <w:szCs w:val="20"/>
                <w:lang w:eastAsia="hr-HR"/>
              </w:rPr>
              <w:lastRenderedPageBreak/>
              <w:t xml:space="preserve">PROGRAM: </w:t>
            </w:r>
            <w:r w:rsidR="004C0B38" w:rsidRPr="004C0B38">
              <w:rPr>
                <w:rFonts w:ascii="Times New Roman" w:eastAsia="Times New Roman" w:hAnsi="Times New Roman" w:cs="Times New Roman"/>
                <w:b/>
                <w:bCs/>
                <w:sz w:val="20"/>
                <w:szCs w:val="20"/>
                <w:lang w:eastAsia="hr-HR"/>
              </w:rPr>
              <w:t xml:space="preserve">1290 </w:t>
            </w:r>
            <w:r w:rsidRPr="004C0B38">
              <w:rPr>
                <w:rFonts w:ascii="Times New Roman" w:eastAsia="Times New Roman" w:hAnsi="Times New Roman" w:cs="Times New Roman"/>
                <w:b/>
                <w:sz w:val="20"/>
                <w:szCs w:val="20"/>
                <w:lang w:val="x-none" w:eastAsia="x-none"/>
              </w:rPr>
              <w:t>PROGRAMI U ZDRAVSTVENOJ ZAŠTITI IZNAD ZAKONSKOG STANDARDA</w:t>
            </w:r>
            <w:r w:rsidRPr="004C0B38">
              <w:rPr>
                <w:rFonts w:ascii="Times New Roman" w:eastAsia="Times New Roman" w:hAnsi="Times New Roman" w:cs="Times New Roman"/>
                <w:sz w:val="20"/>
                <w:szCs w:val="20"/>
                <w:lang w:val="x-none" w:eastAsia="x-none"/>
              </w:rPr>
              <w:t xml:space="preserve"> </w:t>
            </w:r>
          </w:p>
        </w:tc>
      </w:tr>
      <w:tr w:rsidR="0062667A" w:rsidRPr="004C0B38" w:rsidTr="00B7649B">
        <w:trPr>
          <w:trHeight w:val="193"/>
          <w:tblCellSpacing w:w="20" w:type="dxa"/>
        </w:trPr>
        <w:tc>
          <w:tcPr>
            <w:tcW w:w="10099" w:type="dxa"/>
            <w:shd w:val="clear" w:color="auto" w:fill="auto"/>
          </w:tcPr>
          <w:p w:rsidR="0062667A" w:rsidRPr="000C36FF" w:rsidRDefault="0062667A" w:rsidP="0062667A">
            <w:pPr>
              <w:spacing w:before="120" w:after="0" w:line="240" w:lineRule="auto"/>
              <w:jc w:val="both"/>
              <w:rPr>
                <w:rFonts w:ascii="Times New Roman" w:eastAsia="Times New Roman" w:hAnsi="Times New Roman" w:cs="Times New Roman"/>
                <w:bCs/>
                <w:lang w:eastAsia="hr-HR"/>
              </w:rPr>
            </w:pPr>
            <w:r w:rsidRPr="000C36FF">
              <w:rPr>
                <w:rFonts w:ascii="Times New Roman" w:eastAsia="Times New Roman" w:hAnsi="Times New Roman" w:cs="Times New Roman"/>
                <w:bCs/>
                <w:lang w:eastAsia="hr-HR"/>
              </w:rPr>
              <w:t>OPIS PROGRAMA:</w:t>
            </w:r>
          </w:p>
          <w:p w:rsidR="0062667A" w:rsidRPr="000C36FF" w:rsidRDefault="0062667A" w:rsidP="0062667A">
            <w:pPr>
              <w:spacing w:after="120" w:line="240" w:lineRule="auto"/>
              <w:jc w:val="both"/>
              <w:rPr>
                <w:rFonts w:ascii="Times New Roman" w:eastAsia="Times New Roman" w:hAnsi="Times New Roman" w:cs="Times New Roman"/>
                <w:b/>
                <w:bCs/>
                <w:lang w:eastAsia="hr-HR"/>
              </w:rPr>
            </w:pPr>
            <w:r w:rsidRPr="000C36FF">
              <w:rPr>
                <w:rFonts w:ascii="Times New Roman" w:eastAsia="Times New Roman" w:hAnsi="Times New Roman" w:cs="Times New Roman"/>
                <w:b/>
                <w:bCs/>
                <w:lang w:eastAsia="hr-HR"/>
              </w:rPr>
              <w:t xml:space="preserve">A129008 Nabava opreme i dodatna ulaganja u zdravstvene objekte </w:t>
            </w:r>
          </w:p>
          <w:p w:rsidR="0062667A" w:rsidRPr="000C36FF" w:rsidRDefault="0062667A" w:rsidP="0062667A">
            <w:pPr>
              <w:spacing w:after="12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Na aktivnosti Nabava opreme i dodatna ulaganja u zdravstvene objekte  planiran je iznos od 208.242,00 eura za nabavu:</w:t>
            </w:r>
          </w:p>
          <w:p w:rsidR="0062667A" w:rsidRPr="000C36FF" w:rsidRDefault="0062667A" w:rsidP="0062667A">
            <w:pPr>
              <w:spacing w:after="12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D-WALL digitalnog uređaja namijenjenog za virtualnu rehabilitaciju i trening u iznosu 75.519,00 eura te </w:t>
            </w:r>
          </w:p>
          <w:p w:rsidR="0062667A" w:rsidRPr="000C36FF" w:rsidRDefault="0062667A" w:rsidP="0062667A">
            <w:pPr>
              <w:spacing w:after="12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Rekonstrukciju krovišta i unutrašnjosti bazena IV u ukupnom iznosu 132.723,00 eura.</w:t>
            </w:r>
          </w:p>
          <w:p w:rsidR="0062667A" w:rsidRPr="000C36FF" w:rsidRDefault="0062667A" w:rsidP="0062667A">
            <w:pPr>
              <w:spacing w:after="12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Na navedenoj aktivnosti u prvoj polovici poslovne 2023. godine nema izvršenja, odnosno u tijeku je priprem</w:t>
            </w:r>
            <w:r w:rsidR="004C0B38" w:rsidRPr="000C36FF">
              <w:rPr>
                <w:rFonts w:ascii="Times New Roman" w:eastAsia="Times New Roman" w:hAnsi="Times New Roman" w:cs="Times New Roman"/>
                <w:lang w:eastAsia="hr-HR"/>
              </w:rPr>
              <w:t>a</w:t>
            </w:r>
            <w:r w:rsidRPr="000C36FF">
              <w:rPr>
                <w:rFonts w:ascii="Times New Roman" w:eastAsia="Times New Roman" w:hAnsi="Times New Roman" w:cs="Times New Roman"/>
                <w:lang w:eastAsia="hr-HR"/>
              </w:rPr>
              <w:t xml:space="preserve"> dokumentacij</w:t>
            </w:r>
            <w:r w:rsidR="004C0B38" w:rsidRPr="000C36FF">
              <w:rPr>
                <w:rFonts w:ascii="Times New Roman" w:eastAsia="Times New Roman" w:hAnsi="Times New Roman" w:cs="Times New Roman"/>
                <w:lang w:eastAsia="hr-HR"/>
              </w:rPr>
              <w:t>e</w:t>
            </w:r>
            <w:r w:rsidRPr="000C36FF">
              <w:rPr>
                <w:rFonts w:ascii="Times New Roman" w:eastAsia="Times New Roman" w:hAnsi="Times New Roman" w:cs="Times New Roman"/>
                <w:lang w:eastAsia="hr-HR"/>
              </w:rPr>
              <w:t xml:space="preserve"> za pokretanje postupka nabave. Izvršenje se očekuje u zadnjem kvartalu poslovne 2023. godine.</w:t>
            </w:r>
          </w:p>
          <w:p w:rsidR="0062667A" w:rsidRPr="004C0B38" w:rsidRDefault="0062667A" w:rsidP="0062667A">
            <w:pPr>
              <w:spacing w:before="120" w:after="120" w:line="240" w:lineRule="auto"/>
              <w:ind w:left="-45"/>
              <w:jc w:val="both"/>
              <w:rPr>
                <w:rFonts w:ascii="Times New Roman" w:eastAsia="Times New Roman" w:hAnsi="Times New Roman" w:cs="Times New Roman"/>
                <w:sz w:val="20"/>
                <w:szCs w:val="20"/>
                <w:lang w:eastAsia="hr-HR"/>
              </w:rPr>
            </w:pPr>
            <w:r w:rsidRPr="000C36FF">
              <w:rPr>
                <w:rFonts w:ascii="Times New Roman" w:eastAsia="Times New Roman" w:hAnsi="Times New Roman" w:cs="Times New Roman"/>
                <w:lang w:eastAsia="hr-HR"/>
              </w:rPr>
              <w:t>Projekti i aktivnosti koje se odvijaju unutar ovog programa financiraju se iz sredstava Županije iznad zakonskog standarda</w:t>
            </w:r>
            <w:r w:rsidRPr="004C0B38">
              <w:rPr>
                <w:rFonts w:ascii="Times New Roman" w:eastAsia="Times New Roman" w:hAnsi="Times New Roman" w:cs="Times New Roman"/>
                <w:sz w:val="20"/>
                <w:szCs w:val="20"/>
                <w:lang w:eastAsia="hr-HR"/>
              </w:rPr>
              <w:t>.</w:t>
            </w:r>
          </w:p>
          <w:tbl>
            <w:tblPr>
              <w:tblW w:w="9848" w:type="dxa"/>
              <w:tblLook w:val="04A0" w:firstRow="1" w:lastRow="0" w:firstColumn="1" w:lastColumn="0" w:noHBand="0" w:noVBand="1"/>
            </w:tblPr>
            <w:tblGrid>
              <w:gridCol w:w="1837"/>
              <w:gridCol w:w="3535"/>
              <w:gridCol w:w="2275"/>
              <w:gridCol w:w="2201"/>
            </w:tblGrid>
            <w:tr w:rsidR="0062667A" w:rsidRPr="004C0B38" w:rsidTr="00B7649B">
              <w:trPr>
                <w:trHeight w:hRule="exact" w:val="235"/>
              </w:trPr>
              <w:tc>
                <w:tcPr>
                  <w:tcW w:w="1837"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proofErr w:type="spellStart"/>
                  <w:r w:rsidRPr="004C0B38">
                    <w:rPr>
                      <w:rFonts w:ascii="Times New Roman" w:eastAsia="Times New Roman" w:hAnsi="Times New Roman" w:cs="Times New Roman"/>
                      <w:b/>
                      <w:bCs/>
                      <w:color w:val="000000"/>
                      <w:sz w:val="20"/>
                      <w:szCs w:val="20"/>
                      <w:lang w:eastAsia="hr-HR"/>
                    </w:rPr>
                    <w:t>R.b</w:t>
                  </w:r>
                  <w:proofErr w:type="spellEnd"/>
                  <w:r w:rsidRPr="004C0B38">
                    <w:rPr>
                      <w:rFonts w:ascii="Times New Roman" w:eastAsia="Times New Roman" w:hAnsi="Times New Roman" w:cs="Times New Roman"/>
                      <w:b/>
                      <w:bCs/>
                      <w:color w:val="000000"/>
                      <w:sz w:val="20"/>
                      <w:szCs w:val="20"/>
                      <w:lang w:eastAsia="hr-HR"/>
                    </w:rPr>
                    <w:t>.</w:t>
                  </w:r>
                </w:p>
              </w:tc>
              <w:tc>
                <w:tcPr>
                  <w:tcW w:w="3535"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Naziv aktivnosti/projekta</w:t>
                  </w:r>
                </w:p>
              </w:tc>
              <w:tc>
                <w:tcPr>
                  <w:tcW w:w="2275" w:type="dxa"/>
                  <w:tcBorders>
                    <w:top w:val="single" w:sz="8" w:space="0" w:color="auto"/>
                    <w:left w:val="nil"/>
                    <w:bottom w:val="nil"/>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xml:space="preserve">Plan </w:t>
                  </w:r>
                </w:p>
              </w:tc>
              <w:tc>
                <w:tcPr>
                  <w:tcW w:w="2201" w:type="dxa"/>
                  <w:tcBorders>
                    <w:top w:val="single" w:sz="8" w:space="0" w:color="auto"/>
                    <w:left w:val="nil"/>
                    <w:bottom w:val="nil"/>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Ostvarenje</w:t>
                  </w:r>
                </w:p>
              </w:tc>
            </w:tr>
            <w:tr w:rsidR="0062667A" w:rsidRPr="004C0B38" w:rsidTr="00B7649B">
              <w:trPr>
                <w:trHeight w:val="245"/>
              </w:trPr>
              <w:tc>
                <w:tcPr>
                  <w:tcW w:w="1837"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62667A">
                  <w:pPr>
                    <w:spacing w:after="0" w:line="240" w:lineRule="auto"/>
                    <w:rPr>
                      <w:rFonts w:ascii="Times New Roman" w:eastAsia="Times New Roman" w:hAnsi="Times New Roman" w:cs="Times New Roman"/>
                      <w:b/>
                      <w:bCs/>
                      <w:color w:val="000000"/>
                      <w:sz w:val="20"/>
                      <w:szCs w:val="20"/>
                      <w:lang w:eastAsia="hr-HR"/>
                    </w:rPr>
                  </w:pPr>
                </w:p>
              </w:tc>
              <w:tc>
                <w:tcPr>
                  <w:tcW w:w="3535"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62667A">
                  <w:pPr>
                    <w:spacing w:after="0" w:line="240" w:lineRule="auto"/>
                    <w:rPr>
                      <w:rFonts w:ascii="Times New Roman" w:eastAsia="Times New Roman" w:hAnsi="Times New Roman" w:cs="Times New Roman"/>
                      <w:b/>
                      <w:bCs/>
                      <w:color w:val="000000"/>
                      <w:sz w:val="20"/>
                      <w:szCs w:val="20"/>
                      <w:lang w:eastAsia="hr-HR"/>
                    </w:rPr>
                  </w:pPr>
                </w:p>
              </w:tc>
              <w:tc>
                <w:tcPr>
                  <w:tcW w:w="2275"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2023.</w:t>
                  </w:r>
                </w:p>
              </w:tc>
              <w:tc>
                <w:tcPr>
                  <w:tcW w:w="2201"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2023.</w:t>
                  </w:r>
                </w:p>
              </w:tc>
            </w:tr>
            <w:tr w:rsidR="0062667A" w:rsidRPr="004C0B38" w:rsidTr="00B7649B">
              <w:trPr>
                <w:trHeight w:hRule="exact" w:val="636"/>
              </w:trPr>
              <w:tc>
                <w:tcPr>
                  <w:tcW w:w="183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01.</w:t>
                  </w:r>
                </w:p>
              </w:tc>
              <w:tc>
                <w:tcPr>
                  <w:tcW w:w="3535"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Nabava D-WALL digitalnog uređaja</w:t>
                  </w:r>
                </w:p>
              </w:tc>
              <w:tc>
                <w:tcPr>
                  <w:tcW w:w="2275"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75.519,00</w:t>
                  </w:r>
                </w:p>
              </w:tc>
              <w:tc>
                <w:tcPr>
                  <w:tcW w:w="2201"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0,00</w:t>
                  </w:r>
                </w:p>
              </w:tc>
            </w:tr>
            <w:tr w:rsidR="0062667A" w:rsidRPr="004C0B38" w:rsidTr="00B7649B">
              <w:trPr>
                <w:trHeight w:hRule="exact" w:val="636"/>
              </w:trPr>
              <w:tc>
                <w:tcPr>
                  <w:tcW w:w="1837" w:type="dxa"/>
                  <w:tcBorders>
                    <w:top w:val="nil"/>
                    <w:left w:val="single" w:sz="8" w:space="0" w:color="auto"/>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02.</w:t>
                  </w:r>
                </w:p>
              </w:tc>
              <w:tc>
                <w:tcPr>
                  <w:tcW w:w="3535"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Rekonstrukcija krovišta i unutrašnjosti bazena IV</w:t>
                  </w:r>
                </w:p>
              </w:tc>
              <w:tc>
                <w:tcPr>
                  <w:tcW w:w="2275" w:type="dxa"/>
                  <w:tcBorders>
                    <w:top w:val="nil"/>
                    <w:left w:val="nil"/>
                    <w:bottom w:val="single" w:sz="8" w:space="0" w:color="auto"/>
                    <w:right w:val="single" w:sz="8" w:space="0" w:color="auto"/>
                  </w:tcBorders>
                  <w:shd w:val="clear" w:color="auto" w:fill="auto"/>
                  <w:vAlign w:val="center"/>
                </w:tcPr>
                <w:p w:rsidR="0062667A" w:rsidRPr="004C0B38" w:rsidRDefault="004C0B38" w:rsidP="0062667A">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132.723</w:t>
                  </w:r>
                  <w:r w:rsidR="0062667A" w:rsidRPr="004C0B38">
                    <w:rPr>
                      <w:rFonts w:ascii="Times New Roman" w:eastAsia="Times New Roman" w:hAnsi="Times New Roman" w:cs="Times New Roman"/>
                      <w:color w:val="000000"/>
                      <w:sz w:val="20"/>
                      <w:szCs w:val="20"/>
                      <w:lang w:eastAsia="hr-HR"/>
                    </w:rPr>
                    <w:t>,00</w:t>
                  </w:r>
                </w:p>
              </w:tc>
              <w:tc>
                <w:tcPr>
                  <w:tcW w:w="2201"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0,00</w:t>
                  </w:r>
                </w:p>
              </w:tc>
            </w:tr>
            <w:tr w:rsidR="0062667A" w:rsidRPr="004C0B38" w:rsidTr="00B7649B">
              <w:trPr>
                <w:trHeight w:hRule="exact" w:val="245"/>
              </w:trPr>
              <w:tc>
                <w:tcPr>
                  <w:tcW w:w="1837" w:type="dxa"/>
                  <w:tcBorders>
                    <w:top w:val="nil"/>
                    <w:left w:val="single" w:sz="8" w:space="0" w:color="auto"/>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w:t>
                  </w:r>
                </w:p>
              </w:tc>
              <w:tc>
                <w:tcPr>
                  <w:tcW w:w="3535"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Ukupno program:</w:t>
                  </w:r>
                </w:p>
              </w:tc>
              <w:tc>
                <w:tcPr>
                  <w:tcW w:w="2275"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208.242,00</w:t>
                  </w:r>
                </w:p>
              </w:tc>
              <w:tc>
                <w:tcPr>
                  <w:tcW w:w="2201"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0,00</w:t>
                  </w:r>
                </w:p>
              </w:tc>
            </w:tr>
          </w:tbl>
          <w:p w:rsidR="0062667A" w:rsidRPr="000C36FF" w:rsidRDefault="0062667A" w:rsidP="0062667A">
            <w:pPr>
              <w:spacing w:before="120" w:after="120" w:line="240" w:lineRule="auto"/>
              <w:ind w:left="-45"/>
              <w:jc w:val="both"/>
              <w:rPr>
                <w:rFonts w:ascii="Times New Roman" w:eastAsia="Times New Roman" w:hAnsi="Times New Roman" w:cs="Times New Roman"/>
                <w:lang w:eastAsia="hr-HR"/>
              </w:rPr>
            </w:pPr>
            <w:r w:rsidRPr="004C0B38">
              <w:rPr>
                <w:rFonts w:ascii="Times New Roman" w:eastAsia="Times New Roman" w:hAnsi="Times New Roman" w:cs="Times New Roman"/>
                <w:sz w:val="20"/>
                <w:szCs w:val="20"/>
                <w:lang w:eastAsia="hr-HR"/>
              </w:rPr>
              <w:t xml:space="preserve">U </w:t>
            </w:r>
            <w:r w:rsidRPr="000C36FF">
              <w:rPr>
                <w:rFonts w:ascii="Times New Roman" w:eastAsia="Times New Roman" w:hAnsi="Times New Roman" w:cs="Times New Roman"/>
                <w:lang w:eastAsia="hr-HR"/>
              </w:rPr>
              <w:t>prvoj polovici 2023. godine nije evidentirano izvršenje na navedenom programu.</w:t>
            </w:r>
          </w:p>
          <w:p w:rsidR="0062667A" w:rsidRPr="000C36FF" w:rsidRDefault="0062667A" w:rsidP="004C0B38">
            <w:pPr>
              <w:spacing w:before="120" w:after="120" w:line="240" w:lineRule="auto"/>
              <w:jc w:val="both"/>
              <w:rPr>
                <w:rFonts w:ascii="Times New Roman" w:eastAsia="Times New Roman" w:hAnsi="Times New Roman" w:cs="Times New Roman"/>
                <w:lang w:eastAsia="hr-HR"/>
              </w:rPr>
            </w:pPr>
          </w:p>
          <w:p w:rsidR="0062667A" w:rsidRPr="000C36FF" w:rsidRDefault="0062667A" w:rsidP="0062667A">
            <w:pPr>
              <w:spacing w:before="120" w:after="120" w:line="240" w:lineRule="auto"/>
              <w:ind w:left="-45"/>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CILJEVI I POKAZATELJI USPJEŠNOSTI KOJIMA ĆE SE MJERITI OSTVARENJE CILJEVA:</w:t>
            </w:r>
          </w:p>
          <w:tbl>
            <w:tblPr>
              <w:tblStyle w:val="Reetkatablice"/>
              <w:tblW w:w="0" w:type="auto"/>
              <w:jc w:val="center"/>
              <w:tblLook w:val="04A0" w:firstRow="1" w:lastRow="0" w:firstColumn="1" w:lastColumn="0" w:noHBand="0" w:noVBand="1"/>
            </w:tblPr>
            <w:tblGrid>
              <w:gridCol w:w="1238"/>
              <w:gridCol w:w="1127"/>
              <w:gridCol w:w="1275"/>
              <w:gridCol w:w="1396"/>
              <w:gridCol w:w="1432"/>
              <w:gridCol w:w="1554"/>
              <w:gridCol w:w="1836"/>
            </w:tblGrid>
            <w:tr w:rsidR="0062667A" w:rsidRPr="004C0B38" w:rsidTr="004C0B38">
              <w:trPr>
                <w:trHeight w:val="635"/>
                <w:jc w:val="center"/>
              </w:trPr>
              <w:tc>
                <w:tcPr>
                  <w:tcW w:w="1047"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Pokazatelj</w:t>
                  </w:r>
                </w:p>
              </w:tc>
              <w:tc>
                <w:tcPr>
                  <w:tcW w:w="1006"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Definicija</w:t>
                  </w:r>
                </w:p>
              </w:tc>
              <w:tc>
                <w:tcPr>
                  <w:tcW w:w="1280"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Jedinica</w:t>
                  </w:r>
                </w:p>
              </w:tc>
              <w:tc>
                <w:tcPr>
                  <w:tcW w:w="1399"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Polazna vrijednost</w:t>
                  </w:r>
                </w:p>
              </w:tc>
              <w:tc>
                <w:tcPr>
                  <w:tcW w:w="1436"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Izvor podataka</w:t>
                  </w:r>
                </w:p>
              </w:tc>
              <w:tc>
                <w:tcPr>
                  <w:tcW w:w="1559"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Ciljana vrijednost 2023.</w:t>
                  </w:r>
                </w:p>
              </w:tc>
              <w:tc>
                <w:tcPr>
                  <w:tcW w:w="1843" w:type="dxa"/>
                  <w:shd w:val="clear" w:color="auto" w:fill="D9D9D9" w:themeFill="background1" w:themeFillShade="D9"/>
                  <w:vAlign w:val="center"/>
                </w:tcPr>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Ostvarena vrijednost</w:t>
                  </w:r>
                </w:p>
                <w:p w:rsidR="0062667A" w:rsidRPr="004C0B38" w:rsidRDefault="0062667A" w:rsidP="004C0B38">
                  <w:pPr>
                    <w:spacing w:before="120" w:after="120"/>
                    <w:ind w:left="-45"/>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I – VI 2023.</w:t>
                  </w:r>
                </w:p>
              </w:tc>
            </w:tr>
            <w:tr w:rsidR="0062667A" w:rsidRPr="004C0B38" w:rsidTr="00B7649B">
              <w:trPr>
                <w:jc w:val="center"/>
              </w:trPr>
              <w:tc>
                <w:tcPr>
                  <w:tcW w:w="1047"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Uvođenje nove usluge</w:t>
                  </w:r>
                </w:p>
              </w:tc>
              <w:tc>
                <w:tcPr>
                  <w:tcW w:w="1006"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Privatni korisnici</w:t>
                  </w:r>
                </w:p>
              </w:tc>
              <w:tc>
                <w:tcPr>
                  <w:tcW w:w="1280"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prodanih karata</w:t>
                  </w:r>
                </w:p>
              </w:tc>
              <w:tc>
                <w:tcPr>
                  <w:tcW w:w="1399"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624</w:t>
                  </w:r>
                </w:p>
              </w:tc>
              <w:tc>
                <w:tcPr>
                  <w:tcW w:w="1436" w:type="dxa"/>
                  <w:vAlign w:val="center"/>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Izvršenje 2019.</w:t>
                  </w:r>
                </w:p>
              </w:tc>
              <w:tc>
                <w:tcPr>
                  <w:tcW w:w="1559"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655</w:t>
                  </w:r>
                </w:p>
              </w:tc>
              <w:tc>
                <w:tcPr>
                  <w:tcW w:w="1843"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0,00</w:t>
                  </w:r>
                </w:p>
              </w:tc>
            </w:tr>
            <w:tr w:rsidR="0062667A" w:rsidRPr="004C0B38" w:rsidTr="00B7649B">
              <w:trPr>
                <w:jc w:val="center"/>
              </w:trPr>
              <w:tc>
                <w:tcPr>
                  <w:tcW w:w="1047"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Hidroterapija</w:t>
                  </w:r>
                </w:p>
              </w:tc>
              <w:tc>
                <w:tcPr>
                  <w:tcW w:w="1006"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Ambulantni pacijenti</w:t>
                  </w:r>
                </w:p>
              </w:tc>
              <w:tc>
                <w:tcPr>
                  <w:tcW w:w="1280" w:type="dxa"/>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pruženih usluga</w:t>
                  </w:r>
                </w:p>
              </w:tc>
              <w:tc>
                <w:tcPr>
                  <w:tcW w:w="1399"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32.482</w:t>
                  </w:r>
                </w:p>
              </w:tc>
              <w:tc>
                <w:tcPr>
                  <w:tcW w:w="1436" w:type="dxa"/>
                  <w:vAlign w:val="center"/>
                </w:tcPr>
                <w:p w:rsidR="0062667A" w:rsidRPr="004C0B38" w:rsidRDefault="0062667A" w:rsidP="0062667A">
                  <w:pPr>
                    <w:spacing w:before="120" w:after="120"/>
                    <w:ind w:left="-45"/>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Izvršenje 2019.</w:t>
                  </w:r>
                </w:p>
              </w:tc>
              <w:tc>
                <w:tcPr>
                  <w:tcW w:w="1559"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34.406</w:t>
                  </w:r>
                </w:p>
              </w:tc>
              <w:tc>
                <w:tcPr>
                  <w:tcW w:w="1843" w:type="dxa"/>
                  <w:vAlign w:val="center"/>
                </w:tcPr>
                <w:p w:rsidR="0062667A" w:rsidRPr="004C0B38" w:rsidRDefault="0062667A" w:rsidP="0062667A">
                  <w:pPr>
                    <w:spacing w:before="120" w:after="120"/>
                    <w:ind w:left="-45"/>
                    <w:jc w:val="right"/>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0,00</w:t>
                  </w:r>
                </w:p>
              </w:tc>
            </w:tr>
          </w:tbl>
          <w:p w:rsidR="0062667A" w:rsidRPr="000C36FF" w:rsidRDefault="0062667A" w:rsidP="0062667A">
            <w:pPr>
              <w:spacing w:before="120" w:after="120" w:line="240" w:lineRule="auto"/>
              <w:ind w:left="-45"/>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Budući da radovi na rekonstrukciji krovišta nisu ni započeli, </w:t>
            </w:r>
            <w:r w:rsidR="004C0B38" w:rsidRPr="000C36FF">
              <w:rPr>
                <w:rFonts w:ascii="Times New Roman" w:eastAsia="Times New Roman" w:hAnsi="Times New Roman" w:cs="Times New Roman"/>
                <w:lang w:eastAsia="hr-HR"/>
              </w:rPr>
              <w:t>planirani početak radova krajem mjeseca rujna</w:t>
            </w:r>
            <w:r w:rsidRPr="000C36FF">
              <w:rPr>
                <w:rFonts w:ascii="Times New Roman" w:eastAsia="Times New Roman" w:hAnsi="Times New Roman" w:cs="Times New Roman"/>
                <w:lang w:eastAsia="hr-HR"/>
              </w:rPr>
              <w:t xml:space="preserve">, pokazatelji uspješnosti biti </w:t>
            </w:r>
            <w:r w:rsidR="004C0B38" w:rsidRPr="000C36FF">
              <w:rPr>
                <w:rFonts w:ascii="Times New Roman" w:eastAsia="Times New Roman" w:hAnsi="Times New Roman" w:cs="Times New Roman"/>
                <w:lang w:eastAsia="hr-HR"/>
              </w:rPr>
              <w:t xml:space="preserve">će </w:t>
            </w:r>
            <w:r w:rsidRPr="000C36FF">
              <w:rPr>
                <w:rFonts w:ascii="Times New Roman" w:eastAsia="Times New Roman" w:hAnsi="Times New Roman" w:cs="Times New Roman"/>
                <w:lang w:eastAsia="hr-HR"/>
              </w:rPr>
              <w:t>prezentirani u izvršenju godišnjeg Financijskog plana.</w:t>
            </w:r>
          </w:p>
          <w:p w:rsidR="0062667A" w:rsidRPr="004C0B38" w:rsidRDefault="0062667A" w:rsidP="0062667A">
            <w:pPr>
              <w:spacing w:before="120" w:after="120" w:line="240" w:lineRule="auto"/>
              <w:ind w:left="-45"/>
              <w:jc w:val="both"/>
              <w:rPr>
                <w:rFonts w:ascii="Times New Roman" w:eastAsia="Times New Roman" w:hAnsi="Times New Roman" w:cs="Times New Roman"/>
                <w:sz w:val="20"/>
                <w:szCs w:val="20"/>
                <w:lang w:eastAsia="hr-HR"/>
              </w:rPr>
            </w:pPr>
          </w:p>
        </w:tc>
      </w:tr>
      <w:tr w:rsidR="0062667A" w:rsidRPr="004C0B38" w:rsidTr="00B7649B">
        <w:trPr>
          <w:trHeight w:val="193"/>
          <w:tblCellSpacing w:w="20" w:type="dxa"/>
        </w:trPr>
        <w:tc>
          <w:tcPr>
            <w:tcW w:w="10099" w:type="dxa"/>
            <w:shd w:val="clear" w:color="auto" w:fill="auto"/>
          </w:tcPr>
          <w:p w:rsidR="0062667A" w:rsidRPr="004C0B38" w:rsidRDefault="0062667A" w:rsidP="0062667A">
            <w:pPr>
              <w:spacing w:before="120" w:after="0" w:line="240" w:lineRule="auto"/>
              <w:jc w:val="both"/>
              <w:rPr>
                <w:rFonts w:ascii="Times New Roman" w:eastAsia="Times New Roman" w:hAnsi="Times New Roman" w:cs="Times New Roman"/>
                <w:bCs/>
                <w:sz w:val="20"/>
                <w:szCs w:val="20"/>
                <w:lang w:eastAsia="hr-HR"/>
              </w:rPr>
            </w:pPr>
          </w:p>
        </w:tc>
      </w:tr>
      <w:tr w:rsidR="0062667A" w:rsidRPr="004C0B38" w:rsidTr="00B7649B">
        <w:trPr>
          <w:trHeight w:val="177"/>
          <w:tblCellSpacing w:w="20" w:type="dxa"/>
        </w:trPr>
        <w:tc>
          <w:tcPr>
            <w:tcW w:w="10099" w:type="dxa"/>
            <w:shd w:val="clear" w:color="auto" w:fill="BDD6EE"/>
          </w:tcPr>
          <w:p w:rsidR="0062667A" w:rsidRPr="004C0B38" w:rsidRDefault="0062667A" w:rsidP="0062667A">
            <w:pPr>
              <w:keepNext/>
              <w:pageBreakBefore/>
              <w:spacing w:before="240" w:after="240" w:line="240" w:lineRule="auto"/>
              <w:outlineLvl w:val="0"/>
              <w:rPr>
                <w:rFonts w:ascii="Times New Roman" w:eastAsia="Times New Roman" w:hAnsi="Times New Roman" w:cs="Times New Roman"/>
                <w:b/>
                <w:bCs/>
                <w:sz w:val="20"/>
                <w:szCs w:val="20"/>
                <w:lang w:eastAsia="hr-HR"/>
              </w:rPr>
            </w:pPr>
            <w:r w:rsidRPr="004C0B38">
              <w:rPr>
                <w:rFonts w:ascii="Times New Roman" w:eastAsia="Times New Roman" w:hAnsi="Times New Roman" w:cs="Times New Roman"/>
                <w:b/>
                <w:bCs/>
                <w:sz w:val="20"/>
                <w:szCs w:val="20"/>
                <w:lang w:eastAsia="hr-HR"/>
              </w:rPr>
              <w:lastRenderedPageBreak/>
              <w:t xml:space="preserve">PROGRAM: </w:t>
            </w:r>
            <w:r w:rsidR="004C0B38">
              <w:rPr>
                <w:rFonts w:ascii="Times New Roman" w:eastAsia="Times New Roman" w:hAnsi="Times New Roman" w:cs="Times New Roman"/>
                <w:b/>
                <w:bCs/>
                <w:sz w:val="20"/>
                <w:szCs w:val="20"/>
                <w:lang w:eastAsia="hr-HR"/>
              </w:rPr>
              <w:t xml:space="preserve">1320 </w:t>
            </w:r>
            <w:r w:rsidRPr="004C0B38">
              <w:rPr>
                <w:rFonts w:ascii="Times New Roman" w:eastAsia="Times New Roman" w:hAnsi="Times New Roman" w:cs="Times New Roman"/>
                <w:b/>
                <w:sz w:val="20"/>
                <w:szCs w:val="20"/>
                <w:lang w:val="x-none" w:eastAsia="x-none"/>
              </w:rPr>
              <w:t xml:space="preserve">JAVNE USTANOVE U ZDRAVSTVU </w:t>
            </w:r>
          </w:p>
        </w:tc>
      </w:tr>
      <w:tr w:rsidR="0062667A" w:rsidRPr="004C0B38" w:rsidTr="00B7649B">
        <w:trPr>
          <w:trHeight w:val="193"/>
          <w:tblCellSpacing w:w="20" w:type="dxa"/>
        </w:trPr>
        <w:tc>
          <w:tcPr>
            <w:tcW w:w="10099" w:type="dxa"/>
            <w:shd w:val="clear" w:color="auto" w:fill="auto"/>
          </w:tcPr>
          <w:p w:rsidR="0062667A" w:rsidRPr="004C0B38" w:rsidRDefault="0062667A" w:rsidP="0062667A">
            <w:pPr>
              <w:spacing w:before="120" w:after="0" w:line="240" w:lineRule="auto"/>
              <w:jc w:val="both"/>
              <w:rPr>
                <w:rFonts w:ascii="Times New Roman" w:eastAsia="Times New Roman" w:hAnsi="Times New Roman" w:cs="Times New Roman"/>
                <w:b/>
                <w:bCs/>
                <w:sz w:val="20"/>
                <w:szCs w:val="20"/>
                <w:lang w:eastAsia="hr-HR"/>
              </w:rPr>
            </w:pPr>
            <w:r w:rsidRPr="004C0B38">
              <w:rPr>
                <w:rFonts w:ascii="Times New Roman" w:eastAsia="Times New Roman" w:hAnsi="Times New Roman" w:cs="Times New Roman"/>
                <w:b/>
                <w:bCs/>
                <w:sz w:val="20"/>
                <w:szCs w:val="20"/>
                <w:lang w:eastAsia="hr-HR"/>
              </w:rPr>
              <w:t>OPIS PROGRAMA:</w:t>
            </w:r>
          </w:p>
          <w:p w:rsidR="0062667A" w:rsidRPr="000C36FF" w:rsidRDefault="0062667A" w:rsidP="0062667A">
            <w:pPr>
              <w:spacing w:after="12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Kroz ovaj program (A132001) Specijalna bolnica za medicinsku rehabilitaciju Varaždinske Toplice u okviru svoje redovne djelatnosti pruža usluge bolničke i specijalističko-konzilijarne zdravstvene zaštite u djelatnosti fizikalne medicine i rehabilitacije, te pruža turističko ugostiteljske usluge.</w:t>
            </w:r>
          </w:p>
          <w:p w:rsidR="0062667A" w:rsidRPr="000C36FF" w:rsidRDefault="0062667A" w:rsidP="0062667A">
            <w:pPr>
              <w:spacing w:before="120" w:after="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Program se financira iz prihoda za posebne namjene (43) ostvarenih na temelju ugovora o provođenju bolničke i konzilijarne zdravstvene zaštite, iz vlastitih prihoda (izvor 31), ostalih pomoći (izvor 52), pomoći EU (izvor 51) za sufinanciranje plaća pripravnika medicinske struke, donacija (izvor 61), prihoda od nefinancijske imovine (izvor 71).</w:t>
            </w:r>
          </w:p>
          <w:p w:rsidR="0062667A" w:rsidRPr="004C0B38" w:rsidRDefault="0062667A" w:rsidP="0062667A">
            <w:pPr>
              <w:spacing w:before="120" w:after="0" w:line="240" w:lineRule="auto"/>
              <w:jc w:val="both"/>
              <w:rPr>
                <w:rFonts w:ascii="Times New Roman" w:eastAsia="Times New Roman" w:hAnsi="Times New Roman" w:cs="Times New Roman"/>
                <w:b/>
                <w:bCs/>
                <w:sz w:val="20"/>
                <w:szCs w:val="20"/>
                <w:lang w:eastAsia="hr-HR"/>
              </w:rPr>
            </w:pPr>
          </w:p>
        </w:tc>
      </w:tr>
      <w:tr w:rsidR="0062667A" w:rsidRPr="004C0B38" w:rsidTr="00B7649B">
        <w:trPr>
          <w:trHeight w:val="624"/>
          <w:tblCellSpacing w:w="20" w:type="dxa"/>
        </w:trPr>
        <w:tc>
          <w:tcPr>
            <w:tcW w:w="10099" w:type="dxa"/>
            <w:shd w:val="clear" w:color="auto" w:fill="auto"/>
          </w:tcPr>
          <w:p w:rsidR="0062667A" w:rsidRPr="000C36FF" w:rsidRDefault="0062667A" w:rsidP="0062667A">
            <w:pPr>
              <w:spacing w:before="120" w:after="0" w:line="240" w:lineRule="auto"/>
              <w:rPr>
                <w:rFonts w:ascii="Times New Roman" w:eastAsia="Times New Roman" w:hAnsi="Times New Roman" w:cs="Times New Roman"/>
                <w:b/>
                <w:bCs/>
                <w:lang w:eastAsia="hr-HR"/>
              </w:rPr>
            </w:pPr>
            <w:r w:rsidRPr="000C36FF">
              <w:rPr>
                <w:rFonts w:ascii="Times New Roman" w:eastAsia="Times New Roman" w:hAnsi="Times New Roman" w:cs="Times New Roman"/>
                <w:b/>
                <w:bCs/>
                <w:lang w:eastAsia="hr-HR"/>
              </w:rPr>
              <w:t xml:space="preserve">ISHODIŠTE SREDSTAVA: </w:t>
            </w:r>
          </w:p>
          <w:p w:rsidR="0062667A" w:rsidRPr="004C0B38" w:rsidRDefault="0062667A" w:rsidP="0062667A">
            <w:pPr>
              <w:spacing w:before="120" w:after="120" w:line="240" w:lineRule="auto"/>
              <w:jc w:val="both"/>
              <w:rPr>
                <w:rFonts w:ascii="Times New Roman" w:eastAsia="Times New Roman" w:hAnsi="Times New Roman" w:cs="Times New Roman"/>
                <w:sz w:val="20"/>
                <w:szCs w:val="20"/>
                <w:lang w:eastAsia="hr-HR"/>
              </w:rPr>
            </w:pPr>
            <w:r w:rsidRPr="000C36FF">
              <w:rPr>
                <w:rFonts w:ascii="Times New Roman" w:eastAsia="Times New Roman" w:hAnsi="Times New Roman" w:cs="Times New Roman"/>
                <w:lang w:eastAsia="hr-HR"/>
              </w:rPr>
              <w:t>Unutar programa planirane/ostvarene slijedeće aktivnosti/projekti</w:t>
            </w:r>
            <w:r w:rsidRPr="004C0B38">
              <w:rPr>
                <w:rFonts w:ascii="Times New Roman" w:eastAsia="Times New Roman" w:hAnsi="Times New Roman" w:cs="Times New Roman"/>
                <w:sz w:val="20"/>
                <w:szCs w:val="20"/>
                <w:lang w:eastAsia="hr-HR"/>
              </w:rPr>
              <w:t>:</w:t>
            </w:r>
          </w:p>
          <w:p w:rsidR="0062667A" w:rsidRPr="004C0B38" w:rsidRDefault="0062667A" w:rsidP="0062667A">
            <w:pPr>
              <w:spacing w:after="0" w:line="240" w:lineRule="auto"/>
              <w:jc w:val="both"/>
              <w:rPr>
                <w:rFonts w:ascii="Times New Roman" w:eastAsia="Times New Roman" w:hAnsi="Times New Roman" w:cs="Times New Roman"/>
                <w:sz w:val="20"/>
                <w:szCs w:val="20"/>
                <w:highlight w:val="yellow"/>
                <w:lang w:eastAsia="hr-HR"/>
              </w:rPr>
            </w:pPr>
          </w:p>
          <w:tbl>
            <w:tblPr>
              <w:tblW w:w="9122" w:type="dxa"/>
              <w:tblInd w:w="408" w:type="dxa"/>
              <w:tblLook w:val="04A0" w:firstRow="1" w:lastRow="0" w:firstColumn="1" w:lastColumn="0" w:noHBand="0" w:noVBand="1"/>
            </w:tblPr>
            <w:tblGrid>
              <w:gridCol w:w="1557"/>
              <w:gridCol w:w="3670"/>
              <w:gridCol w:w="1995"/>
              <w:gridCol w:w="1900"/>
            </w:tblGrid>
            <w:tr w:rsidR="0062667A" w:rsidRPr="004C0B38" w:rsidTr="00B7649B">
              <w:trPr>
                <w:trHeight w:hRule="exact" w:val="211"/>
              </w:trPr>
              <w:tc>
                <w:tcPr>
                  <w:tcW w:w="1557"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proofErr w:type="spellStart"/>
                  <w:r w:rsidRPr="004C0B38">
                    <w:rPr>
                      <w:rFonts w:ascii="Times New Roman" w:eastAsia="Times New Roman" w:hAnsi="Times New Roman" w:cs="Times New Roman"/>
                      <w:b/>
                      <w:bCs/>
                      <w:color w:val="000000"/>
                      <w:sz w:val="20"/>
                      <w:szCs w:val="20"/>
                      <w:lang w:eastAsia="hr-HR"/>
                    </w:rPr>
                    <w:t>R.b</w:t>
                  </w:r>
                  <w:proofErr w:type="spellEnd"/>
                  <w:r w:rsidRPr="004C0B38">
                    <w:rPr>
                      <w:rFonts w:ascii="Times New Roman" w:eastAsia="Times New Roman" w:hAnsi="Times New Roman" w:cs="Times New Roman"/>
                      <w:b/>
                      <w:bCs/>
                      <w:color w:val="000000"/>
                      <w:sz w:val="20"/>
                      <w:szCs w:val="20"/>
                      <w:lang w:eastAsia="hr-HR"/>
                    </w:rPr>
                    <w:t>.</w:t>
                  </w:r>
                </w:p>
              </w:tc>
              <w:tc>
                <w:tcPr>
                  <w:tcW w:w="367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Naziv aktivnosti/projekta</w:t>
                  </w:r>
                </w:p>
              </w:tc>
              <w:tc>
                <w:tcPr>
                  <w:tcW w:w="1995" w:type="dxa"/>
                  <w:tcBorders>
                    <w:top w:val="single" w:sz="8" w:space="0" w:color="auto"/>
                    <w:left w:val="nil"/>
                    <w:bottom w:val="nil"/>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xml:space="preserve">Plan </w:t>
                  </w:r>
                </w:p>
              </w:tc>
              <w:tc>
                <w:tcPr>
                  <w:tcW w:w="1900" w:type="dxa"/>
                  <w:vMerge w:val="restart"/>
                  <w:tcBorders>
                    <w:top w:val="single" w:sz="8" w:space="0" w:color="auto"/>
                    <w:left w:val="nil"/>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Ostvarenje I-VI 2023. godina</w:t>
                  </w:r>
                </w:p>
              </w:tc>
            </w:tr>
            <w:tr w:rsidR="0062667A" w:rsidRPr="004C0B38" w:rsidTr="00B7649B">
              <w:trPr>
                <w:trHeight w:val="220"/>
              </w:trPr>
              <w:tc>
                <w:tcPr>
                  <w:tcW w:w="1557"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62667A">
                  <w:pPr>
                    <w:spacing w:after="0" w:line="240" w:lineRule="auto"/>
                    <w:rPr>
                      <w:rFonts w:ascii="Times New Roman" w:eastAsia="Times New Roman" w:hAnsi="Times New Roman" w:cs="Times New Roman"/>
                      <w:b/>
                      <w:bCs/>
                      <w:color w:val="000000"/>
                      <w:sz w:val="20"/>
                      <w:szCs w:val="20"/>
                      <w:lang w:eastAsia="hr-HR"/>
                    </w:rPr>
                  </w:pPr>
                </w:p>
              </w:tc>
              <w:tc>
                <w:tcPr>
                  <w:tcW w:w="3670" w:type="dxa"/>
                  <w:vMerge/>
                  <w:tcBorders>
                    <w:top w:val="single" w:sz="8" w:space="0" w:color="auto"/>
                    <w:left w:val="single" w:sz="8" w:space="0" w:color="auto"/>
                    <w:bottom w:val="single" w:sz="8" w:space="0" w:color="000000"/>
                    <w:right w:val="single" w:sz="8" w:space="0" w:color="auto"/>
                  </w:tcBorders>
                  <w:vAlign w:val="center"/>
                  <w:hideMark/>
                </w:tcPr>
                <w:p w:rsidR="0062667A" w:rsidRPr="004C0B38" w:rsidRDefault="0062667A" w:rsidP="0062667A">
                  <w:pPr>
                    <w:spacing w:after="0" w:line="240" w:lineRule="auto"/>
                    <w:rPr>
                      <w:rFonts w:ascii="Times New Roman" w:eastAsia="Times New Roman" w:hAnsi="Times New Roman" w:cs="Times New Roman"/>
                      <w:b/>
                      <w:bCs/>
                      <w:color w:val="000000"/>
                      <w:sz w:val="20"/>
                      <w:szCs w:val="20"/>
                      <w:lang w:eastAsia="hr-HR"/>
                    </w:rPr>
                  </w:pPr>
                </w:p>
              </w:tc>
              <w:tc>
                <w:tcPr>
                  <w:tcW w:w="1995"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2023.</w:t>
                  </w:r>
                </w:p>
              </w:tc>
              <w:tc>
                <w:tcPr>
                  <w:tcW w:w="1900" w:type="dxa"/>
                  <w:vMerge/>
                  <w:tcBorders>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p>
              </w:tc>
            </w:tr>
            <w:tr w:rsidR="0062667A" w:rsidRPr="004C0B38" w:rsidTr="00B7649B">
              <w:trPr>
                <w:trHeight w:hRule="exact" w:val="439"/>
              </w:trPr>
              <w:tc>
                <w:tcPr>
                  <w:tcW w:w="155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01.</w:t>
                  </w:r>
                </w:p>
              </w:tc>
              <w:tc>
                <w:tcPr>
                  <w:tcW w:w="36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Redovna djelatnost ustanova u zdravstvu</w:t>
                  </w:r>
                </w:p>
              </w:tc>
              <w:tc>
                <w:tcPr>
                  <w:tcW w:w="1995"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17.247.731,00</w:t>
                  </w:r>
                </w:p>
              </w:tc>
              <w:tc>
                <w:tcPr>
                  <w:tcW w:w="1900"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8.502.324,16</w:t>
                  </w:r>
                </w:p>
              </w:tc>
            </w:tr>
            <w:tr w:rsidR="0062667A" w:rsidRPr="004C0B38" w:rsidTr="00B7649B">
              <w:trPr>
                <w:trHeight w:hRule="exact" w:val="512"/>
              </w:trPr>
              <w:tc>
                <w:tcPr>
                  <w:tcW w:w="155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02.</w:t>
                  </w:r>
                </w:p>
              </w:tc>
              <w:tc>
                <w:tcPr>
                  <w:tcW w:w="36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Investicijsko ulaganje - izgradnja objekata, nabava opreme</w:t>
                  </w:r>
                </w:p>
              </w:tc>
              <w:tc>
                <w:tcPr>
                  <w:tcW w:w="1995"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614.373,00</w:t>
                  </w:r>
                </w:p>
              </w:tc>
              <w:tc>
                <w:tcPr>
                  <w:tcW w:w="1900"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280.879,77</w:t>
                  </w:r>
                </w:p>
              </w:tc>
            </w:tr>
            <w:tr w:rsidR="0062667A" w:rsidRPr="004C0B38" w:rsidTr="00B7649B">
              <w:trPr>
                <w:trHeight w:hRule="exact" w:val="220"/>
              </w:trPr>
              <w:tc>
                <w:tcPr>
                  <w:tcW w:w="155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03.</w:t>
                  </w:r>
                </w:p>
              </w:tc>
              <w:tc>
                <w:tcPr>
                  <w:tcW w:w="36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Informatizacija</w:t>
                  </w:r>
                </w:p>
              </w:tc>
              <w:tc>
                <w:tcPr>
                  <w:tcW w:w="1995"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39.817,00</w:t>
                  </w:r>
                </w:p>
              </w:tc>
              <w:tc>
                <w:tcPr>
                  <w:tcW w:w="1900"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4.081,79</w:t>
                  </w:r>
                </w:p>
              </w:tc>
            </w:tr>
            <w:tr w:rsidR="0062667A" w:rsidRPr="004C0B38" w:rsidTr="00B7649B">
              <w:trPr>
                <w:trHeight w:hRule="exact" w:val="512"/>
              </w:trPr>
              <w:tc>
                <w:tcPr>
                  <w:tcW w:w="155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04.</w:t>
                  </w:r>
                </w:p>
              </w:tc>
              <w:tc>
                <w:tcPr>
                  <w:tcW w:w="36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Investicijsko i tekuće održavanje objekata i opreme</w:t>
                  </w:r>
                </w:p>
              </w:tc>
              <w:tc>
                <w:tcPr>
                  <w:tcW w:w="1995"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899.064,00</w:t>
                  </w:r>
                </w:p>
              </w:tc>
              <w:tc>
                <w:tcPr>
                  <w:tcW w:w="1900"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500.708,43</w:t>
                  </w:r>
                </w:p>
              </w:tc>
            </w:tr>
            <w:tr w:rsidR="0062667A" w:rsidRPr="004C0B38" w:rsidTr="00B7649B">
              <w:trPr>
                <w:trHeight w:hRule="exact" w:val="220"/>
              </w:trPr>
              <w:tc>
                <w:tcPr>
                  <w:tcW w:w="1557" w:type="dxa"/>
                  <w:tcBorders>
                    <w:top w:val="nil"/>
                    <w:left w:val="single" w:sz="8" w:space="0" w:color="auto"/>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center"/>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05.</w:t>
                  </w:r>
                </w:p>
              </w:tc>
              <w:tc>
                <w:tcPr>
                  <w:tcW w:w="3670"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Otplata kredita</w:t>
                  </w:r>
                </w:p>
              </w:tc>
              <w:tc>
                <w:tcPr>
                  <w:tcW w:w="1995" w:type="dxa"/>
                  <w:tcBorders>
                    <w:top w:val="nil"/>
                    <w:left w:val="nil"/>
                    <w:bottom w:val="single" w:sz="8" w:space="0" w:color="auto"/>
                    <w:right w:val="single" w:sz="8" w:space="0" w:color="auto"/>
                  </w:tcBorders>
                  <w:shd w:val="clear" w:color="auto" w:fill="auto"/>
                  <w:vAlign w:val="center"/>
                  <w:hideMark/>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811.516,00</w:t>
                  </w:r>
                </w:p>
              </w:tc>
              <w:tc>
                <w:tcPr>
                  <w:tcW w:w="1900" w:type="dxa"/>
                  <w:tcBorders>
                    <w:top w:val="nil"/>
                    <w:left w:val="nil"/>
                    <w:bottom w:val="single" w:sz="8" w:space="0" w:color="auto"/>
                    <w:right w:val="single" w:sz="8" w:space="0" w:color="auto"/>
                  </w:tcBorders>
                  <w:shd w:val="clear" w:color="auto" w:fill="auto"/>
                  <w:vAlign w:val="center"/>
                </w:tcPr>
                <w:p w:rsidR="0062667A" w:rsidRPr="004C0B38" w:rsidRDefault="0062667A" w:rsidP="0062667A">
                  <w:pPr>
                    <w:spacing w:after="0" w:line="240" w:lineRule="auto"/>
                    <w:jc w:val="right"/>
                    <w:rPr>
                      <w:rFonts w:ascii="Times New Roman" w:eastAsia="Times New Roman" w:hAnsi="Times New Roman" w:cs="Times New Roman"/>
                      <w:color w:val="000000"/>
                      <w:sz w:val="20"/>
                      <w:szCs w:val="20"/>
                      <w:lang w:eastAsia="hr-HR"/>
                    </w:rPr>
                  </w:pPr>
                  <w:r w:rsidRPr="004C0B38">
                    <w:rPr>
                      <w:rFonts w:ascii="Times New Roman" w:eastAsia="Times New Roman" w:hAnsi="Times New Roman" w:cs="Times New Roman"/>
                      <w:color w:val="000000"/>
                      <w:sz w:val="20"/>
                      <w:szCs w:val="20"/>
                      <w:lang w:eastAsia="hr-HR"/>
                    </w:rPr>
                    <w:t>528.008,49</w:t>
                  </w:r>
                </w:p>
              </w:tc>
            </w:tr>
            <w:tr w:rsidR="0062667A" w:rsidRPr="004C0B38" w:rsidTr="00B7649B">
              <w:trPr>
                <w:trHeight w:hRule="exact" w:val="220"/>
              </w:trPr>
              <w:tc>
                <w:tcPr>
                  <w:tcW w:w="1557" w:type="dxa"/>
                  <w:tcBorders>
                    <w:top w:val="nil"/>
                    <w:left w:val="single" w:sz="8" w:space="0" w:color="auto"/>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 </w:t>
                  </w:r>
                </w:p>
              </w:tc>
              <w:tc>
                <w:tcPr>
                  <w:tcW w:w="3670" w:type="dxa"/>
                  <w:tcBorders>
                    <w:top w:val="nil"/>
                    <w:left w:val="nil"/>
                    <w:bottom w:val="single" w:sz="8" w:space="0" w:color="auto"/>
                    <w:right w:val="single" w:sz="8" w:space="0" w:color="auto"/>
                  </w:tcBorders>
                  <w:shd w:val="clear" w:color="000000" w:fill="E6E6E6"/>
                  <w:vAlign w:val="center"/>
                  <w:hideMark/>
                </w:tcPr>
                <w:p w:rsidR="0062667A" w:rsidRPr="004C0B38" w:rsidRDefault="0062667A" w:rsidP="0062667A">
                  <w:pPr>
                    <w:spacing w:after="0" w:line="240" w:lineRule="auto"/>
                    <w:jc w:val="center"/>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Ukupno program:</w:t>
                  </w:r>
                </w:p>
              </w:tc>
              <w:tc>
                <w:tcPr>
                  <w:tcW w:w="1995" w:type="dxa"/>
                  <w:tcBorders>
                    <w:top w:val="nil"/>
                    <w:left w:val="nil"/>
                    <w:bottom w:val="single" w:sz="8" w:space="0" w:color="auto"/>
                    <w:right w:val="single" w:sz="8" w:space="0" w:color="auto"/>
                  </w:tcBorders>
                  <w:shd w:val="clear" w:color="000000" w:fill="E6E6E6"/>
                  <w:vAlign w:val="center"/>
                </w:tcPr>
                <w:p w:rsidR="0062667A" w:rsidRPr="004C0B38" w:rsidRDefault="0062667A" w:rsidP="0062667A">
                  <w:pPr>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19.612.501,00</w:t>
                  </w:r>
                </w:p>
              </w:tc>
              <w:tc>
                <w:tcPr>
                  <w:tcW w:w="1900" w:type="dxa"/>
                  <w:tcBorders>
                    <w:top w:val="nil"/>
                    <w:left w:val="nil"/>
                    <w:bottom w:val="single" w:sz="8" w:space="0" w:color="auto"/>
                    <w:right w:val="single" w:sz="8" w:space="0" w:color="auto"/>
                  </w:tcBorders>
                  <w:shd w:val="clear" w:color="000000" w:fill="E6E6E6"/>
                  <w:vAlign w:val="center"/>
                </w:tcPr>
                <w:p w:rsidR="0062667A" w:rsidRPr="004C0B38" w:rsidRDefault="0062667A" w:rsidP="0062667A">
                  <w:pPr>
                    <w:spacing w:after="0" w:line="240" w:lineRule="auto"/>
                    <w:jc w:val="right"/>
                    <w:rPr>
                      <w:rFonts w:ascii="Times New Roman" w:eastAsia="Times New Roman" w:hAnsi="Times New Roman" w:cs="Times New Roman"/>
                      <w:b/>
                      <w:bCs/>
                      <w:color w:val="000000"/>
                      <w:sz w:val="20"/>
                      <w:szCs w:val="20"/>
                      <w:lang w:eastAsia="hr-HR"/>
                    </w:rPr>
                  </w:pPr>
                  <w:r w:rsidRPr="004C0B38">
                    <w:rPr>
                      <w:rFonts w:ascii="Times New Roman" w:eastAsia="Times New Roman" w:hAnsi="Times New Roman" w:cs="Times New Roman"/>
                      <w:b/>
                      <w:bCs/>
                      <w:color w:val="000000"/>
                      <w:sz w:val="20"/>
                      <w:szCs w:val="20"/>
                      <w:lang w:eastAsia="hr-HR"/>
                    </w:rPr>
                    <w:t>9.816.002,64</w:t>
                  </w:r>
                </w:p>
              </w:tc>
            </w:tr>
          </w:tbl>
          <w:p w:rsidR="0062667A" w:rsidRPr="004C0B38" w:rsidRDefault="0062667A" w:rsidP="0062667A">
            <w:pPr>
              <w:spacing w:after="0" w:line="240" w:lineRule="auto"/>
              <w:jc w:val="both"/>
              <w:rPr>
                <w:rFonts w:ascii="Times New Roman" w:eastAsia="Times New Roman" w:hAnsi="Times New Roman" w:cs="Times New Roman"/>
                <w:sz w:val="20"/>
                <w:szCs w:val="20"/>
                <w:highlight w:val="yellow"/>
                <w:lang w:eastAsia="hr-HR"/>
              </w:rPr>
            </w:pPr>
          </w:p>
          <w:p w:rsidR="0062667A" w:rsidRPr="000C36FF" w:rsidRDefault="0062667A" w:rsidP="0062667A">
            <w:pPr>
              <w:spacing w:after="60" w:line="240" w:lineRule="auto"/>
              <w:jc w:val="both"/>
              <w:rPr>
                <w:rFonts w:ascii="Times New Roman" w:eastAsia="Times New Roman" w:hAnsi="Times New Roman" w:cs="Times New Roman"/>
                <w:b/>
                <w:i/>
                <w:lang w:eastAsia="hr-HR"/>
              </w:rPr>
            </w:pPr>
            <w:r w:rsidRPr="000C36FF">
              <w:rPr>
                <w:rFonts w:ascii="Times New Roman" w:eastAsia="Times New Roman" w:hAnsi="Times New Roman" w:cs="Times New Roman"/>
                <w:b/>
                <w:i/>
                <w:lang w:eastAsia="hr-HR"/>
              </w:rPr>
              <w:t>Redovna djelatnost ustanova u zdravstvu</w:t>
            </w:r>
          </w:p>
          <w:p w:rsidR="0062667A" w:rsidRPr="000C36FF" w:rsidRDefault="0062667A" w:rsidP="0062667A">
            <w:pPr>
              <w:spacing w:after="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color w:val="000000"/>
                <w:lang w:eastAsia="hr-HR"/>
              </w:rPr>
              <w:t>Na navedenoj aktivnosti planirana su sredstva za podmirenje troškova redovne djelatnosti Bolnice u iznosu od 17.247.731,00 eura, dok su ostvareni ukupni rashodi u iznosu 8.502.324,16 eura što je 49,30% od planiranog.</w:t>
            </w:r>
            <w:r w:rsidR="004C0B38" w:rsidRPr="000C36FF">
              <w:rPr>
                <w:rFonts w:ascii="Times New Roman" w:eastAsia="Times New Roman" w:hAnsi="Times New Roman" w:cs="Times New Roman"/>
                <w:color w:val="000000"/>
                <w:lang w:eastAsia="hr-HR"/>
              </w:rPr>
              <w:t xml:space="preserve"> Unutar navedene djelatnosti planirana su sredstva </w:t>
            </w:r>
            <w:r w:rsidR="00326A0F" w:rsidRPr="000C36FF">
              <w:rPr>
                <w:rFonts w:ascii="Times New Roman" w:eastAsia="Times New Roman" w:hAnsi="Times New Roman" w:cs="Times New Roman"/>
                <w:color w:val="000000"/>
                <w:lang w:eastAsia="hr-HR"/>
              </w:rPr>
              <w:t xml:space="preserve">za </w:t>
            </w:r>
            <w:r w:rsidR="004C0B38" w:rsidRPr="000C36FF">
              <w:rPr>
                <w:rFonts w:ascii="Times New Roman" w:eastAsia="Times New Roman" w:hAnsi="Times New Roman" w:cs="Times New Roman"/>
                <w:color w:val="000000"/>
                <w:lang w:eastAsia="hr-HR"/>
              </w:rPr>
              <w:t>rashode za zaposlene</w:t>
            </w:r>
            <w:r w:rsidR="00326A0F" w:rsidRPr="000C36FF">
              <w:rPr>
                <w:rFonts w:ascii="Times New Roman" w:eastAsia="Times New Roman" w:hAnsi="Times New Roman" w:cs="Times New Roman"/>
                <w:color w:val="000000"/>
                <w:lang w:eastAsia="hr-HR"/>
              </w:rPr>
              <w:t xml:space="preserve"> (bruto plaća, regres, božićnica, dječji darovi, pomoći za bolesti i ostalo)</w:t>
            </w:r>
            <w:r w:rsidR="004C0B38" w:rsidRPr="000C36FF">
              <w:rPr>
                <w:rFonts w:ascii="Times New Roman" w:eastAsia="Times New Roman" w:hAnsi="Times New Roman" w:cs="Times New Roman"/>
                <w:color w:val="000000"/>
                <w:lang w:eastAsia="hr-HR"/>
              </w:rPr>
              <w:t xml:space="preserve">, materijalne rashode (lijekovi, potrošni medicinski materijal, živežne namirnice, rashodi za usluge, materijal i energiju), financijski rashodi </w:t>
            </w:r>
            <w:r w:rsidR="004C0B38" w:rsidRPr="000C36FF">
              <w:rPr>
                <w:rFonts w:ascii="Times New Roman" w:eastAsia="Times New Roman" w:hAnsi="Times New Roman" w:cs="Times New Roman"/>
                <w:lang w:eastAsia="hr-HR"/>
              </w:rPr>
              <w:t>(zatezne kamate prema dobavljačima, kamate za primljene kredite, kamate za PDV temeljem sklopljenog Upravnog ugovora za namirenje poreznog duga), naknade građanima i kućanstvima (pomoć za školovanje djece preminulih radnika)</w:t>
            </w:r>
            <w:r w:rsidR="00326A0F" w:rsidRPr="000C36FF">
              <w:rPr>
                <w:rFonts w:ascii="Times New Roman" w:eastAsia="Times New Roman" w:hAnsi="Times New Roman" w:cs="Times New Roman"/>
                <w:lang w:eastAsia="hr-HR"/>
              </w:rPr>
              <w:t>.</w:t>
            </w:r>
          </w:p>
          <w:p w:rsidR="0062667A" w:rsidRPr="000C36FF" w:rsidRDefault="0062667A" w:rsidP="0062667A">
            <w:pPr>
              <w:spacing w:after="0" w:line="240" w:lineRule="auto"/>
              <w:jc w:val="both"/>
              <w:rPr>
                <w:rFonts w:ascii="Times New Roman" w:eastAsia="Times New Roman" w:hAnsi="Times New Roman" w:cs="Times New Roman"/>
                <w:color w:val="000000"/>
                <w:lang w:eastAsia="hr-HR"/>
              </w:rPr>
            </w:pPr>
            <w:r w:rsidRPr="000C36FF">
              <w:rPr>
                <w:rFonts w:ascii="Times New Roman" w:eastAsia="Times New Roman" w:hAnsi="Times New Roman" w:cs="Times New Roman"/>
                <w:color w:val="000000"/>
                <w:lang w:eastAsia="hr-HR"/>
              </w:rPr>
              <w:t xml:space="preserve">Aktivnost se financira iz prihoda za posebne namjene (izvor 43), vlastitih prihoda (izvor 31), donacija (izvor 61), pomoći EU (izvor 51), ostalih pomoći (izvor 52). </w:t>
            </w:r>
          </w:p>
          <w:p w:rsidR="0062667A" w:rsidRPr="000C36FF" w:rsidRDefault="0062667A" w:rsidP="0062667A">
            <w:pPr>
              <w:spacing w:after="60" w:line="240" w:lineRule="auto"/>
              <w:jc w:val="both"/>
              <w:rPr>
                <w:rFonts w:ascii="Times New Roman" w:eastAsia="Times New Roman" w:hAnsi="Times New Roman" w:cs="Times New Roman"/>
                <w:b/>
                <w:i/>
                <w:lang w:eastAsia="hr-HR"/>
              </w:rPr>
            </w:pPr>
          </w:p>
          <w:p w:rsidR="0062667A" w:rsidRPr="000C36FF" w:rsidRDefault="0062667A" w:rsidP="0062667A">
            <w:pPr>
              <w:spacing w:after="60" w:line="240" w:lineRule="auto"/>
              <w:jc w:val="both"/>
              <w:rPr>
                <w:rFonts w:ascii="Times New Roman" w:eastAsia="Times New Roman" w:hAnsi="Times New Roman" w:cs="Times New Roman"/>
                <w:b/>
                <w:i/>
                <w:lang w:eastAsia="hr-HR"/>
              </w:rPr>
            </w:pPr>
            <w:r w:rsidRPr="000C36FF">
              <w:rPr>
                <w:rFonts w:ascii="Times New Roman" w:eastAsia="Times New Roman" w:hAnsi="Times New Roman" w:cs="Times New Roman"/>
                <w:b/>
                <w:i/>
                <w:lang w:eastAsia="hr-HR"/>
              </w:rPr>
              <w:t>Investicijsko ulaganje - izgradnja objekata, nabava opreme</w:t>
            </w:r>
          </w:p>
          <w:p w:rsidR="0062667A" w:rsidRPr="000C36FF" w:rsidRDefault="0062667A" w:rsidP="0062667A">
            <w:pPr>
              <w:spacing w:after="6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 xml:space="preserve">U poslovnoj 2023. godini planirana sredstva iznose 614.373,00 eura, a ostvareni rashodi 280.879,77 eura, što je 45,72% od planiranog. Na ovoj aktivnosti planiraju se sredstva za kapitalna ulaganja u nabavu uredske opreme i namještaja, komunikacijsku opremu, medicinsku i laboratorijsku opremu koju je zbog dotrajalosti potrebno </w:t>
            </w:r>
            <w:proofErr w:type="spellStart"/>
            <w:r w:rsidRPr="000C36FF">
              <w:rPr>
                <w:rFonts w:ascii="Times New Roman" w:eastAsia="Times New Roman" w:hAnsi="Times New Roman" w:cs="Times New Roman"/>
                <w:lang w:eastAsia="hr-HR"/>
              </w:rPr>
              <w:t>zanoviti</w:t>
            </w:r>
            <w:proofErr w:type="spellEnd"/>
            <w:r w:rsidRPr="000C36FF">
              <w:rPr>
                <w:rFonts w:ascii="Times New Roman" w:eastAsia="Times New Roman" w:hAnsi="Times New Roman" w:cs="Times New Roman"/>
                <w:lang w:eastAsia="hr-HR"/>
              </w:rPr>
              <w:t>,  uređaje, strojeve i raznu dotrajalu</w:t>
            </w:r>
            <w:r w:rsidR="00326A0F" w:rsidRPr="000C36FF">
              <w:rPr>
                <w:rFonts w:ascii="Times New Roman" w:eastAsia="Times New Roman" w:hAnsi="Times New Roman" w:cs="Times New Roman"/>
                <w:lang w:eastAsia="hr-HR"/>
              </w:rPr>
              <w:t xml:space="preserve"> opremu te za nabavu službenog </w:t>
            </w:r>
            <w:r w:rsidRPr="000C36FF">
              <w:rPr>
                <w:rFonts w:ascii="Times New Roman" w:eastAsia="Times New Roman" w:hAnsi="Times New Roman" w:cs="Times New Roman"/>
                <w:lang w:eastAsia="hr-HR"/>
              </w:rPr>
              <w:t>automobila.</w:t>
            </w:r>
          </w:p>
          <w:p w:rsidR="0062667A" w:rsidRPr="000C36FF" w:rsidRDefault="0062667A" w:rsidP="0062667A">
            <w:pPr>
              <w:spacing w:after="0" w:line="240" w:lineRule="auto"/>
              <w:jc w:val="both"/>
              <w:rPr>
                <w:rFonts w:ascii="Times New Roman" w:eastAsia="Times New Roman" w:hAnsi="Times New Roman" w:cs="Times New Roman"/>
                <w:color w:val="000000"/>
                <w:lang w:eastAsia="hr-HR"/>
              </w:rPr>
            </w:pPr>
            <w:r w:rsidRPr="000C36FF">
              <w:rPr>
                <w:rFonts w:ascii="Times New Roman" w:eastAsia="Times New Roman" w:hAnsi="Times New Roman" w:cs="Times New Roman"/>
                <w:color w:val="000000"/>
                <w:lang w:eastAsia="hr-HR"/>
              </w:rPr>
              <w:t>Za nabavu opreme planirana je nabavka nužne medicinske opreme i to zbog dotrajalosti postojeće (većina opreme refundira se iz decentraliziranih sredstava), također planirana je nabavka novog službenog voz</w:t>
            </w:r>
            <w:r w:rsidR="00326A0F" w:rsidRPr="000C36FF">
              <w:rPr>
                <w:rFonts w:ascii="Times New Roman" w:eastAsia="Times New Roman" w:hAnsi="Times New Roman" w:cs="Times New Roman"/>
                <w:color w:val="000000"/>
                <w:lang w:eastAsia="hr-HR"/>
              </w:rPr>
              <w:t>ila, također zbog starosti postojećih vozila</w:t>
            </w:r>
            <w:r w:rsidRPr="000C36FF">
              <w:rPr>
                <w:rFonts w:ascii="Times New Roman" w:eastAsia="Times New Roman" w:hAnsi="Times New Roman" w:cs="Times New Roman"/>
                <w:color w:val="000000"/>
                <w:lang w:eastAsia="hr-HR"/>
              </w:rPr>
              <w:t>.  Od dodatnih ulaganja planira se samo nužno ulaganje na građevinskim objektima. Velik dio dodatnog ulaganja bio je kroz energetsku obnovu. Aktivnost se financira iz decentraliziranih sredstava (izvor 44), vlastitih prihoda (izvor 31), donacija (izvor 61) i prihoda od nefinancijske imovine i nadoknade šteta s osnova osiguranja (izvor 71).</w:t>
            </w:r>
          </w:p>
          <w:p w:rsidR="0062667A" w:rsidRDefault="0062667A" w:rsidP="0062667A">
            <w:pPr>
              <w:spacing w:after="60" w:line="240" w:lineRule="auto"/>
              <w:jc w:val="both"/>
              <w:rPr>
                <w:rFonts w:ascii="Times New Roman" w:eastAsia="Times New Roman" w:hAnsi="Times New Roman" w:cs="Times New Roman"/>
                <w:b/>
                <w:i/>
                <w:lang w:eastAsia="hr-HR"/>
              </w:rPr>
            </w:pPr>
          </w:p>
          <w:p w:rsidR="000319CC" w:rsidRPr="000C36FF" w:rsidRDefault="000319CC" w:rsidP="0062667A">
            <w:pPr>
              <w:spacing w:after="60" w:line="240" w:lineRule="auto"/>
              <w:jc w:val="both"/>
              <w:rPr>
                <w:rFonts w:ascii="Times New Roman" w:eastAsia="Times New Roman" w:hAnsi="Times New Roman" w:cs="Times New Roman"/>
                <w:b/>
                <w:i/>
                <w:lang w:eastAsia="hr-HR"/>
              </w:rPr>
            </w:pPr>
          </w:p>
          <w:p w:rsidR="0062667A" w:rsidRPr="000C36FF" w:rsidRDefault="0062667A" w:rsidP="0062667A">
            <w:pPr>
              <w:spacing w:after="60" w:line="240" w:lineRule="auto"/>
              <w:jc w:val="both"/>
              <w:rPr>
                <w:rFonts w:ascii="Times New Roman" w:eastAsia="Times New Roman" w:hAnsi="Times New Roman" w:cs="Times New Roman"/>
                <w:b/>
                <w:i/>
                <w:lang w:eastAsia="hr-HR"/>
              </w:rPr>
            </w:pPr>
            <w:r w:rsidRPr="000C36FF">
              <w:rPr>
                <w:rFonts w:ascii="Times New Roman" w:eastAsia="Times New Roman" w:hAnsi="Times New Roman" w:cs="Times New Roman"/>
                <w:b/>
                <w:i/>
                <w:lang w:eastAsia="hr-HR"/>
              </w:rPr>
              <w:lastRenderedPageBreak/>
              <w:t>Informatizacija</w:t>
            </w:r>
          </w:p>
          <w:p w:rsidR="0062667A" w:rsidRPr="000C36FF" w:rsidRDefault="0062667A" w:rsidP="0062667A">
            <w:pPr>
              <w:spacing w:after="60" w:line="240" w:lineRule="auto"/>
              <w:jc w:val="both"/>
              <w:rPr>
                <w:rFonts w:ascii="Times New Roman" w:eastAsia="Times New Roman" w:hAnsi="Times New Roman" w:cs="Times New Roman"/>
                <w:lang w:eastAsia="hr-HR"/>
              </w:rPr>
            </w:pPr>
            <w:r w:rsidRPr="000C36FF">
              <w:rPr>
                <w:rFonts w:ascii="Times New Roman" w:eastAsia="Times New Roman" w:hAnsi="Times New Roman" w:cs="Times New Roman"/>
                <w:lang w:eastAsia="hr-HR"/>
              </w:rPr>
              <w:t>Kroz aktivnost se prate ulaganja u nabavu informatičke opreme i nabavu licenci.</w:t>
            </w:r>
          </w:p>
          <w:p w:rsidR="0062667A" w:rsidRPr="000C36FF" w:rsidRDefault="0062667A" w:rsidP="0062667A">
            <w:pPr>
              <w:spacing w:after="0" w:line="240" w:lineRule="auto"/>
              <w:jc w:val="both"/>
              <w:rPr>
                <w:rFonts w:ascii="Times New Roman" w:eastAsia="Times New Roman" w:hAnsi="Times New Roman" w:cs="Times New Roman"/>
                <w:color w:val="000000"/>
                <w:lang w:eastAsia="hr-HR"/>
              </w:rPr>
            </w:pPr>
            <w:r w:rsidRPr="000C36FF">
              <w:rPr>
                <w:rFonts w:ascii="Times New Roman" w:eastAsia="Times New Roman" w:hAnsi="Times New Roman" w:cs="Times New Roman"/>
                <w:color w:val="000000"/>
                <w:lang w:eastAsia="hr-HR"/>
              </w:rPr>
              <w:t xml:space="preserve">Za 2023. godinu planirano je ukupno 39.817,00 eura, a izvršeno 4.081,79 što je 10,25% od plana. Nabavljene </w:t>
            </w:r>
            <w:r w:rsidRPr="000C36FF">
              <w:rPr>
                <w:rFonts w:ascii="Times New Roman" w:eastAsia="Calibri" w:hAnsi="Times New Roman" w:cs="Times New Roman"/>
              </w:rPr>
              <w:t xml:space="preserve">licence za potrebe inventure i unosa osnovnih sredstava, antivirusni program te licence za korisnički podršku BIS sustava. </w:t>
            </w:r>
            <w:r w:rsidRPr="000C36FF">
              <w:rPr>
                <w:rFonts w:ascii="Times New Roman" w:eastAsia="Times New Roman" w:hAnsi="Times New Roman" w:cs="Times New Roman"/>
                <w:color w:val="000000"/>
                <w:lang w:eastAsia="hr-HR"/>
              </w:rPr>
              <w:t>Aktivnost se financira iz prihoda za posebne namjena (izvor 43).</w:t>
            </w:r>
          </w:p>
          <w:p w:rsidR="0062667A" w:rsidRPr="000C36FF" w:rsidRDefault="0062667A" w:rsidP="0062667A">
            <w:pPr>
              <w:spacing w:after="0" w:line="240" w:lineRule="auto"/>
              <w:jc w:val="both"/>
              <w:rPr>
                <w:rFonts w:ascii="Times New Roman" w:eastAsia="Times New Roman" w:hAnsi="Times New Roman" w:cs="Times New Roman"/>
                <w:color w:val="000000"/>
                <w:lang w:eastAsia="hr-HR"/>
              </w:rPr>
            </w:pPr>
          </w:p>
          <w:p w:rsidR="0062667A" w:rsidRPr="000C36FF" w:rsidRDefault="0062667A" w:rsidP="0062667A">
            <w:pPr>
              <w:spacing w:after="60" w:line="240" w:lineRule="auto"/>
              <w:jc w:val="both"/>
              <w:rPr>
                <w:rFonts w:ascii="Times New Roman" w:eastAsia="Times New Roman" w:hAnsi="Times New Roman" w:cs="Times New Roman"/>
                <w:b/>
                <w:i/>
                <w:lang w:eastAsia="hr-HR"/>
              </w:rPr>
            </w:pPr>
            <w:r w:rsidRPr="000C36FF">
              <w:rPr>
                <w:rFonts w:ascii="Times New Roman" w:eastAsia="Times New Roman" w:hAnsi="Times New Roman" w:cs="Times New Roman"/>
                <w:b/>
                <w:i/>
                <w:lang w:eastAsia="hr-HR"/>
              </w:rPr>
              <w:t>Investicijsko i tekuće održavanje objekata i opreme</w:t>
            </w:r>
          </w:p>
          <w:p w:rsidR="0062667A" w:rsidRDefault="0062667A" w:rsidP="0062667A">
            <w:pPr>
              <w:spacing w:after="60" w:line="240" w:lineRule="auto"/>
              <w:jc w:val="both"/>
              <w:rPr>
                <w:rFonts w:ascii="Times New Roman" w:eastAsia="Times New Roman" w:hAnsi="Times New Roman" w:cs="Times New Roman"/>
                <w:color w:val="000000"/>
                <w:lang w:eastAsia="hr-HR"/>
              </w:rPr>
            </w:pPr>
            <w:r w:rsidRPr="000C36FF">
              <w:rPr>
                <w:rFonts w:ascii="Times New Roman" w:eastAsia="Times New Roman" w:hAnsi="Times New Roman" w:cs="Times New Roman"/>
                <w:color w:val="000000"/>
                <w:lang w:eastAsia="hr-HR"/>
              </w:rPr>
              <w:t xml:space="preserve">Za tekuće i investicijsko održavanje (T132001) u 2023. godini planirani iznos iznosi 899.064,00 eura, a odnosi se na razne usluge tekućeg i  investicijskog održavanja na nivou Bolnice, čišćenje snijega, </w:t>
            </w:r>
            <w:proofErr w:type="spellStart"/>
            <w:r w:rsidRPr="000C36FF">
              <w:rPr>
                <w:rFonts w:ascii="Times New Roman" w:eastAsia="Times New Roman" w:hAnsi="Times New Roman" w:cs="Times New Roman"/>
                <w:color w:val="000000"/>
                <w:lang w:eastAsia="hr-HR"/>
              </w:rPr>
              <w:t>malčiranje</w:t>
            </w:r>
            <w:proofErr w:type="spellEnd"/>
            <w:r w:rsidRPr="000C36FF">
              <w:rPr>
                <w:rFonts w:ascii="Times New Roman" w:eastAsia="Times New Roman" w:hAnsi="Times New Roman" w:cs="Times New Roman"/>
                <w:color w:val="000000"/>
                <w:lang w:eastAsia="hr-HR"/>
              </w:rPr>
              <w:t xml:space="preserve"> zelenih površina, održavanje vozila, bazenske tehnike, telekomunikacijske opreme, vodovoda i kanalizacije, plinskih trošila, održavanje raznih strojeva te ostalih usluga tekućeg i investicijskog održavanja objekata i opreme. Ukupno izvršenje na navedenoj aktivnosti u 2023. godini iznosi 500.708,43 eura što je 55,69% od ukupno planiranog. Aktivnost se financira iz vlastitih prihoda (izvor 31), prihoda</w:t>
            </w:r>
            <w:r w:rsidR="00326A0F" w:rsidRPr="000C36FF">
              <w:rPr>
                <w:rFonts w:ascii="Times New Roman" w:eastAsia="Times New Roman" w:hAnsi="Times New Roman" w:cs="Times New Roman"/>
                <w:color w:val="000000"/>
                <w:lang w:eastAsia="hr-HR"/>
              </w:rPr>
              <w:t xml:space="preserve"> za posebne namjene (izvor 43) </w:t>
            </w:r>
            <w:r w:rsidRPr="000C36FF">
              <w:rPr>
                <w:rFonts w:ascii="Times New Roman" w:eastAsia="Times New Roman" w:hAnsi="Times New Roman" w:cs="Times New Roman"/>
                <w:color w:val="000000"/>
                <w:lang w:eastAsia="hr-HR"/>
              </w:rPr>
              <w:t>te donacija (izvor 61)</w:t>
            </w:r>
            <w:r w:rsidR="00326A0F" w:rsidRPr="000C36FF">
              <w:rPr>
                <w:rFonts w:ascii="Times New Roman" w:eastAsia="Times New Roman" w:hAnsi="Times New Roman" w:cs="Times New Roman"/>
                <w:color w:val="000000"/>
                <w:lang w:eastAsia="hr-HR"/>
              </w:rPr>
              <w:t>.</w:t>
            </w:r>
          </w:p>
          <w:p w:rsidR="000319CC" w:rsidRPr="000C36FF" w:rsidRDefault="000319CC" w:rsidP="0062667A">
            <w:pPr>
              <w:spacing w:after="60" w:line="240" w:lineRule="auto"/>
              <w:jc w:val="both"/>
              <w:rPr>
                <w:rFonts w:ascii="Times New Roman" w:eastAsia="Times New Roman" w:hAnsi="Times New Roman" w:cs="Times New Roman"/>
                <w:color w:val="000000"/>
                <w:lang w:eastAsia="hr-HR"/>
              </w:rPr>
            </w:pPr>
          </w:p>
          <w:p w:rsidR="0062667A" w:rsidRPr="000C36FF" w:rsidRDefault="0062667A" w:rsidP="0062667A">
            <w:pPr>
              <w:spacing w:after="60" w:line="240" w:lineRule="auto"/>
              <w:jc w:val="both"/>
              <w:rPr>
                <w:rFonts w:ascii="Times New Roman" w:eastAsia="Times New Roman" w:hAnsi="Times New Roman" w:cs="Times New Roman"/>
                <w:b/>
                <w:i/>
                <w:lang w:eastAsia="hr-HR"/>
              </w:rPr>
            </w:pPr>
            <w:r w:rsidRPr="000C36FF">
              <w:rPr>
                <w:rFonts w:ascii="Times New Roman" w:eastAsia="Times New Roman" w:hAnsi="Times New Roman" w:cs="Times New Roman"/>
                <w:b/>
                <w:i/>
                <w:lang w:eastAsia="hr-HR"/>
              </w:rPr>
              <w:t xml:space="preserve">Otplata kredita </w:t>
            </w:r>
          </w:p>
          <w:p w:rsidR="0062667A" w:rsidRPr="000C36FF" w:rsidRDefault="0062667A" w:rsidP="0062667A">
            <w:pPr>
              <w:spacing w:after="60" w:line="240" w:lineRule="auto"/>
              <w:jc w:val="both"/>
              <w:rPr>
                <w:rFonts w:ascii="Times New Roman" w:eastAsia="Calibri" w:hAnsi="Times New Roman" w:cs="Times New Roman"/>
              </w:rPr>
            </w:pPr>
            <w:r w:rsidRPr="000C36FF">
              <w:rPr>
                <w:rFonts w:ascii="Times New Roman" w:eastAsia="Calibri" w:hAnsi="Times New Roman" w:cs="Times New Roman"/>
              </w:rPr>
              <w:t>Kroz aktivnost T132002 prati se otplata glavnice za primljene kredite i zajmove od kreditnih i ost</w:t>
            </w:r>
            <w:r w:rsidR="00326A0F" w:rsidRPr="000C36FF">
              <w:rPr>
                <w:rFonts w:ascii="Times New Roman" w:eastAsia="Calibri" w:hAnsi="Times New Roman" w:cs="Times New Roman"/>
              </w:rPr>
              <w:t xml:space="preserve">alih financijskih institucija </w:t>
            </w:r>
            <w:r w:rsidRPr="000C36FF">
              <w:rPr>
                <w:rFonts w:ascii="Times New Roman" w:eastAsia="Calibri" w:hAnsi="Times New Roman" w:cs="Times New Roman"/>
              </w:rPr>
              <w:t xml:space="preserve">te otplata kamata sukladno Odluci o davanju suglasnosti za preuzimanje obveza na teret sredstava za decentralizirane funkcije (klasa: 421-02/20-01/15, </w:t>
            </w:r>
            <w:proofErr w:type="spellStart"/>
            <w:r w:rsidRPr="000C36FF">
              <w:rPr>
                <w:rFonts w:ascii="Times New Roman" w:eastAsia="Calibri" w:hAnsi="Times New Roman" w:cs="Times New Roman"/>
              </w:rPr>
              <w:t>ur</w:t>
            </w:r>
            <w:proofErr w:type="spellEnd"/>
            <w:r w:rsidRPr="000C36FF">
              <w:rPr>
                <w:rFonts w:ascii="Times New Roman" w:eastAsia="Calibri" w:hAnsi="Times New Roman" w:cs="Times New Roman"/>
              </w:rPr>
              <w:t>. broj: 2186/1-02/1-20-6 od 8. srpnja 2020. godine). Sredstva se refundiraju i</w:t>
            </w:r>
            <w:r w:rsidR="00326A0F" w:rsidRPr="000C36FF">
              <w:rPr>
                <w:rFonts w:ascii="Times New Roman" w:eastAsia="Calibri" w:hAnsi="Times New Roman" w:cs="Times New Roman"/>
              </w:rPr>
              <w:t>z decentraliziranih sredstava, prihoda za posebne namjene i vlastitih sredstava.</w:t>
            </w:r>
          </w:p>
          <w:p w:rsidR="0062667A" w:rsidRPr="004C0B38" w:rsidRDefault="0062667A" w:rsidP="0062667A">
            <w:pPr>
              <w:spacing w:after="60" w:line="240" w:lineRule="auto"/>
              <w:jc w:val="both"/>
              <w:rPr>
                <w:rFonts w:ascii="Times New Roman" w:eastAsia="Calibri" w:hAnsi="Times New Roman" w:cs="Times New Roman"/>
                <w:sz w:val="20"/>
                <w:szCs w:val="20"/>
              </w:rPr>
            </w:pPr>
          </w:p>
          <w:tbl>
            <w:tblPr>
              <w:tblStyle w:val="Reetkatablice"/>
              <w:tblW w:w="0" w:type="auto"/>
              <w:jc w:val="center"/>
              <w:tblLook w:val="04A0" w:firstRow="1" w:lastRow="0" w:firstColumn="1" w:lastColumn="0" w:noHBand="0" w:noVBand="1"/>
            </w:tblPr>
            <w:tblGrid>
              <w:gridCol w:w="1116"/>
              <w:gridCol w:w="1117"/>
              <w:gridCol w:w="1280"/>
              <w:gridCol w:w="1399"/>
              <w:gridCol w:w="1436"/>
              <w:gridCol w:w="1559"/>
              <w:gridCol w:w="1843"/>
            </w:tblGrid>
            <w:tr w:rsidR="0062667A" w:rsidRPr="004C0B38" w:rsidTr="00B7649B">
              <w:trPr>
                <w:trHeight w:val="635"/>
                <w:jc w:val="center"/>
              </w:trPr>
              <w:tc>
                <w:tcPr>
                  <w:tcW w:w="1097" w:type="dxa"/>
                  <w:shd w:val="clear" w:color="auto" w:fill="D9D9D9" w:themeFill="background1" w:themeFillShade="D9"/>
                  <w:vAlign w:val="center"/>
                </w:tcPr>
                <w:p w:rsidR="0062667A" w:rsidRPr="004C0B38" w:rsidRDefault="0062667A" w:rsidP="0062667A">
                  <w:pPr>
                    <w:spacing w:before="120" w:after="120"/>
                    <w:jc w:val="both"/>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Pokazatelj</w:t>
                  </w:r>
                </w:p>
              </w:tc>
              <w:tc>
                <w:tcPr>
                  <w:tcW w:w="1117" w:type="dxa"/>
                  <w:shd w:val="clear" w:color="auto" w:fill="D9D9D9" w:themeFill="background1" w:themeFillShade="D9"/>
                  <w:vAlign w:val="center"/>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Definicija</w:t>
                  </w:r>
                </w:p>
              </w:tc>
              <w:tc>
                <w:tcPr>
                  <w:tcW w:w="1280" w:type="dxa"/>
                  <w:shd w:val="clear" w:color="auto" w:fill="D9D9D9" w:themeFill="background1" w:themeFillShade="D9"/>
                  <w:vAlign w:val="center"/>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Jedinica</w:t>
                  </w:r>
                </w:p>
              </w:tc>
              <w:tc>
                <w:tcPr>
                  <w:tcW w:w="1399" w:type="dxa"/>
                  <w:shd w:val="clear" w:color="auto" w:fill="D9D9D9" w:themeFill="background1" w:themeFillShade="D9"/>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Polazna vrijednost</w:t>
                  </w:r>
                </w:p>
              </w:tc>
              <w:tc>
                <w:tcPr>
                  <w:tcW w:w="1436" w:type="dxa"/>
                  <w:shd w:val="clear" w:color="auto" w:fill="D9D9D9" w:themeFill="background1" w:themeFillShade="D9"/>
                  <w:vAlign w:val="center"/>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Izvor podataka</w:t>
                  </w:r>
                </w:p>
              </w:tc>
              <w:tc>
                <w:tcPr>
                  <w:tcW w:w="1559" w:type="dxa"/>
                  <w:shd w:val="clear" w:color="auto" w:fill="D9D9D9" w:themeFill="background1" w:themeFillShade="D9"/>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Ciljana vrijednost 2023.</w:t>
                  </w:r>
                </w:p>
              </w:tc>
              <w:tc>
                <w:tcPr>
                  <w:tcW w:w="1843" w:type="dxa"/>
                  <w:shd w:val="clear" w:color="auto" w:fill="D9D9D9" w:themeFill="background1" w:themeFillShade="D9"/>
                </w:tcPr>
                <w:p w:rsidR="0062667A" w:rsidRPr="004C0B38" w:rsidRDefault="0062667A" w:rsidP="0062667A">
                  <w:pPr>
                    <w:spacing w:before="120" w:after="120"/>
                    <w:jc w:val="center"/>
                    <w:rPr>
                      <w:rFonts w:ascii="Times New Roman" w:eastAsia="Times New Roman" w:hAnsi="Times New Roman" w:cs="Times New Roman"/>
                      <w:b/>
                      <w:sz w:val="20"/>
                      <w:szCs w:val="20"/>
                      <w:lang w:eastAsia="hr-HR"/>
                    </w:rPr>
                  </w:pPr>
                  <w:r w:rsidRPr="004C0B38">
                    <w:rPr>
                      <w:rFonts w:ascii="Times New Roman" w:eastAsia="Times New Roman" w:hAnsi="Times New Roman" w:cs="Times New Roman"/>
                      <w:b/>
                      <w:sz w:val="20"/>
                      <w:szCs w:val="20"/>
                      <w:lang w:eastAsia="hr-HR"/>
                    </w:rPr>
                    <w:t>Ostvarena vrijednost                 I – VI 2023.</w:t>
                  </w:r>
                </w:p>
              </w:tc>
            </w:tr>
            <w:tr w:rsidR="0062667A" w:rsidRPr="004C0B38" w:rsidTr="00B7649B">
              <w:trPr>
                <w:jc w:val="center"/>
              </w:trPr>
              <w:tc>
                <w:tcPr>
                  <w:tcW w:w="1097" w:type="dxa"/>
                  <w:vAlign w:val="center"/>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dana</w:t>
                  </w:r>
                </w:p>
              </w:tc>
              <w:tc>
                <w:tcPr>
                  <w:tcW w:w="1117" w:type="dxa"/>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Korisnici HZZO-a</w:t>
                  </w:r>
                </w:p>
              </w:tc>
              <w:tc>
                <w:tcPr>
                  <w:tcW w:w="1280"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proofErr w:type="spellStart"/>
                  <w:r w:rsidRPr="004C0B38">
                    <w:rPr>
                      <w:rFonts w:ascii="Times New Roman" w:eastAsia="Times New Roman" w:hAnsi="Times New Roman" w:cs="Times New Roman"/>
                      <w:sz w:val="20"/>
                      <w:szCs w:val="20"/>
                      <w:lang w:eastAsia="hr-HR"/>
                    </w:rPr>
                    <w:t>b.o</w:t>
                  </w:r>
                  <w:proofErr w:type="spellEnd"/>
                  <w:r w:rsidRPr="004C0B38">
                    <w:rPr>
                      <w:rFonts w:ascii="Times New Roman" w:eastAsia="Times New Roman" w:hAnsi="Times New Roman" w:cs="Times New Roman"/>
                      <w:sz w:val="20"/>
                      <w:szCs w:val="20"/>
                      <w:lang w:eastAsia="hr-HR"/>
                    </w:rPr>
                    <w:t>. dan</w:t>
                  </w:r>
                </w:p>
              </w:tc>
              <w:tc>
                <w:tcPr>
                  <w:tcW w:w="1399"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108.429</w:t>
                  </w:r>
                </w:p>
              </w:tc>
              <w:tc>
                <w:tcPr>
                  <w:tcW w:w="1436" w:type="dxa"/>
                  <w:vAlign w:val="center"/>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Izvršenje 2021.</w:t>
                  </w:r>
                </w:p>
              </w:tc>
              <w:tc>
                <w:tcPr>
                  <w:tcW w:w="1559"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124.693</w:t>
                  </w:r>
                </w:p>
              </w:tc>
              <w:tc>
                <w:tcPr>
                  <w:tcW w:w="1843"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75.119</w:t>
                  </w:r>
                </w:p>
              </w:tc>
            </w:tr>
            <w:tr w:rsidR="0062667A" w:rsidRPr="004C0B38" w:rsidTr="00B7649B">
              <w:trPr>
                <w:jc w:val="center"/>
              </w:trPr>
              <w:tc>
                <w:tcPr>
                  <w:tcW w:w="1097" w:type="dxa"/>
                  <w:vAlign w:val="center"/>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Broj dana</w:t>
                  </w:r>
                </w:p>
              </w:tc>
              <w:tc>
                <w:tcPr>
                  <w:tcW w:w="1117" w:type="dxa"/>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Ostali korisnici</w:t>
                  </w:r>
                </w:p>
              </w:tc>
              <w:tc>
                <w:tcPr>
                  <w:tcW w:w="1280"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proofErr w:type="spellStart"/>
                  <w:r w:rsidRPr="004C0B38">
                    <w:rPr>
                      <w:rFonts w:ascii="Times New Roman" w:eastAsia="Times New Roman" w:hAnsi="Times New Roman" w:cs="Times New Roman"/>
                      <w:sz w:val="20"/>
                      <w:szCs w:val="20"/>
                      <w:lang w:eastAsia="hr-HR"/>
                    </w:rPr>
                    <w:t>b.o</w:t>
                  </w:r>
                  <w:proofErr w:type="spellEnd"/>
                  <w:r w:rsidRPr="004C0B38">
                    <w:rPr>
                      <w:rFonts w:ascii="Times New Roman" w:eastAsia="Times New Roman" w:hAnsi="Times New Roman" w:cs="Times New Roman"/>
                      <w:sz w:val="20"/>
                      <w:szCs w:val="20"/>
                      <w:lang w:eastAsia="hr-HR"/>
                    </w:rPr>
                    <w:t>. dan</w:t>
                  </w:r>
                </w:p>
              </w:tc>
              <w:tc>
                <w:tcPr>
                  <w:tcW w:w="1399"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12.200</w:t>
                  </w:r>
                </w:p>
              </w:tc>
              <w:tc>
                <w:tcPr>
                  <w:tcW w:w="1436" w:type="dxa"/>
                  <w:vAlign w:val="center"/>
                </w:tcPr>
                <w:p w:rsidR="0062667A" w:rsidRPr="004C0B38" w:rsidRDefault="0062667A" w:rsidP="0062667A">
                  <w:pPr>
                    <w:spacing w:before="120" w:after="120"/>
                    <w:jc w:val="both"/>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Izvršenje 2021.</w:t>
                  </w:r>
                </w:p>
              </w:tc>
              <w:tc>
                <w:tcPr>
                  <w:tcW w:w="1559"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13.420</w:t>
                  </w:r>
                </w:p>
              </w:tc>
              <w:tc>
                <w:tcPr>
                  <w:tcW w:w="1843" w:type="dxa"/>
                  <w:vAlign w:val="center"/>
                </w:tcPr>
                <w:p w:rsidR="0062667A" w:rsidRPr="004C0B38" w:rsidRDefault="0062667A" w:rsidP="0062667A">
                  <w:pPr>
                    <w:spacing w:before="120" w:after="120"/>
                    <w:jc w:val="center"/>
                    <w:rPr>
                      <w:rFonts w:ascii="Times New Roman" w:eastAsia="Times New Roman" w:hAnsi="Times New Roman" w:cs="Times New Roman"/>
                      <w:sz w:val="20"/>
                      <w:szCs w:val="20"/>
                      <w:lang w:eastAsia="hr-HR"/>
                    </w:rPr>
                  </w:pPr>
                  <w:r w:rsidRPr="004C0B38">
                    <w:rPr>
                      <w:rFonts w:ascii="Times New Roman" w:eastAsia="Times New Roman" w:hAnsi="Times New Roman" w:cs="Times New Roman"/>
                      <w:sz w:val="20"/>
                      <w:szCs w:val="20"/>
                      <w:lang w:eastAsia="hr-HR"/>
                    </w:rPr>
                    <w:t>15.469</w:t>
                  </w:r>
                </w:p>
              </w:tc>
            </w:tr>
          </w:tbl>
          <w:p w:rsidR="0062667A" w:rsidRPr="004C0B38" w:rsidRDefault="0062667A" w:rsidP="0062667A">
            <w:pPr>
              <w:spacing w:after="60" w:line="240" w:lineRule="auto"/>
              <w:jc w:val="both"/>
              <w:rPr>
                <w:rFonts w:ascii="Times New Roman" w:eastAsia="Calibri" w:hAnsi="Times New Roman" w:cs="Times New Roman"/>
                <w:sz w:val="20"/>
                <w:szCs w:val="20"/>
              </w:rPr>
            </w:pPr>
          </w:p>
          <w:p w:rsidR="0062667A" w:rsidRPr="000C36FF" w:rsidRDefault="0062667A" w:rsidP="0062667A">
            <w:pPr>
              <w:spacing w:after="60" w:line="240" w:lineRule="auto"/>
              <w:jc w:val="both"/>
              <w:rPr>
                <w:rFonts w:ascii="Times New Roman" w:eastAsia="Calibri" w:hAnsi="Times New Roman" w:cs="Times New Roman"/>
              </w:rPr>
            </w:pPr>
            <w:r w:rsidRPr="000C36FF">
              <w:rPr>
                <w:rFonts w:ascii="Times New Roman" w:eastAsia="Calibri" w:hAnsi="Times New Roman" w:cs="Times New Roman"/>
              </w:rPr>
              <w:t xml:space="preserve">Rezultati za razdoblje siječanj-lipanj 2023. pokazuju da je ostvareno 75.119 </w:t>
            </w:r>
            <w:proofErr w:type="spellStart"/>
            <w:r w:rsidRPr="000C36FF">
              <w:rPr>
                <w:rFonts w:ascii="Times New Roman" w:eastAsia="Calibri" w:hAnsi="Times New Roman" w:cs="Times New Roman"/>
              </w:rPr>
              <w:t>b.o</w:t>
            </w:r>
            <w:proofErr w:type="spellEnd"/>
            <w:r w:rsidRPr="000C36FF">
              <w:rPr>
                <w:rFonts w:ascii="Times New Roman" w:eastAsia="Calibri" w:hAnsi="Times New Roman" w:cs="Times New Roman"/>
              </w:rPr>
              <w:t xml:space="preserve">. dana što je 60,24%  planiranog broja </w:t>
            </w:r>
            <w:proofErr w:type="spellStart"/>
            <w:r w:rsidRPr="000C36FF">
              <w:rPr>
                <w:rFonts w:ascii="Times New Roman" w:eastAsia="Calibri" w:hAnsi="Times New Roman" w:cs="Times New Roman"/>
              </w:rPr>
              <w:t>b.o</w:t>
            </w:r>
            <w:proofErr w:type="spellEnd"/>
            <w:r w:rsidRPr="000C36FF">
              <w:rPr>
                <w:rFonts w:ascii="Times New Roman" w:eastAsia="Calibri" w:hAnsi="Times New Roman" w:cs="Times New Roman"/>
              </w:rPr>
              <w:t xml:space="preserve">. dana (124.693) za korisnike HZZO-a, stoga se očekuje da će do kraja godine broj ostvarenih </w:t>
            </w:r>
            <w:proofErr w:type="spellStart"/>
            <w:r w:rsidRPr="000C36FF">
              <w:rPr>
                <w:rFonts w:ascii="Times New Roman" w:eastAsia="Calibri" w:hAnsi="Times New Roman" w:cs="Times New Roman"/>
              </w:rPr>
              <w:t>b.o</w:t>
            </w:r>
            <w:proofErr w:type="spellEnd"/>
            <w:r w:rsidRPr="000C36FF">
              <w:rPr>
                <w:rFonts w:ascii="Times New Roman" w:eastAsia="Calibri" w:hAnsi="Times New Roman" w:cs="Times New Roman"/>
              </w:rPr>
              <w:t xml:space="preserve">. dana premašiti očekivani broj za 10%-15%. </w:t>
            </w:r>
          </w:p>
          <w:p w:rsidR="0062667A" w:rsidRPr="000C36FF" w:rsidRDefault="0062667A" w:rsidP="0062667A">
            <w:pPr>
              <w:spacing w:after="60" w:line="240" w:lineRule="auto"/>
              <w:jc w:val="both"/>
              <w:rPr>
                <w:rFonts w:ascii="Times New Roman" w:eastAsia="Calibri" w:hAnsi="Times New Roman" w:cs="Times New Roman"/>
              </w:rPr>
            </w:pPr>
            <w:r w:rsidRPr="000C36FF">
              <w:rPr>
                <w:rFonts w:ascii="Times New Roman" w:eastAsia="Calibri" w:hAnsi="Times New Roman" w:cs="Times New Roman"/>
              </w:rPr>
              <w:t xml:space="preserve">Ostvareni broj  </w:t>
            </w:r>
            <w:proofErr w:type="spellStart"/>
            <w:r w:rsidRPr="000C36FF">
              <w:rPr>
                <w:rFonts w:ascii="Times New Roman" w:eastAsia="Calibri" w:hAnsi="Times New Roman" w:cs="Times New Roman"/>
              </w:rPr>
              <w:t>b.o</w:t>
            </w:r>
            <w:proofErr w:type="spellEnd"/>
            <w:r w:rsidRPr="000C36FF">
              <w:rPr>
                <w:rFonts w:ascii="Times New Roman" w:eastAsia="Calibri" w:hAnsi="Times New Roman" w:cs="Times New Roman"/>
              </w:rPr>
              <w:t>. dana za ostale korisnike u prvih šest mjeseci 2023. iznosi 15.469, što je za 15,27% više od planiranog broja za cijelu 2023. godinu (13.420)</w:t>
            </w:r>
            <w:r w:rsidR="00326A0F" w:rsidRPr="000C36FF">
              <w:rPr>
                <w:rFonts w:ascii="Times New Roman" w:eastAsia="Calibri" w:hAnsi="Times New Roman" w:cs="Times New Roman"/>
              </w:rPr>
              <w:t xml:space="preserve"> – više pacijenata na liječenju od očekivanog</w:t>
            </w:r>
            <w:r w:rsidRPr="000C36FF">
              <w:rPr>
                <w:rFonts w:ascii="Times New Roman" w:eastAsia="Calibri" w:hAnsi="Times New Roman" w:cs="Times New Roman"/>
              </w:rPr>
              <w:t>.</w:t>
            </w:r>
          </w:p>
          <w:p w:rsidR="0062667A" w:rsidRPr="000C36FF" w:rsidRDefault="0062667A" w:rsidP="0062667A">
            <w:pPr>
              <w:spacing w:after="60" w:line="240" w:lineRule="auto"/>
              <w:jc w:val="both"/>
              <w:rPr>
                <w:rFonts w:ascii="Times New Roman" w:eastAsia="Calibri" w:hAnsi="Times New Roman" w:cs="Times New Roman"/>
              </w:rPr>
            </w:pPr>
            <w:r w:rsidRPr="000C36FF">
              <w:rPr>
                <w:rFonts w:ascii="Times New Roman" w:eastAsia="Calibri" w:hAnsi="Times New Roman" w:cs="Times New Roman"/>
              </w:rPr>
              <w:t>Pokazatelji uspješnog investicijskog i tekućeg održavanja objekata i opreme pokazuju povećani broj pruženih zdravstvenih usluga, a time i pokazuju uspješnost ovog programa.</w:t>
            </w:r>
          </w:p>
          <w:p w:rsidR="0062667A" w:rsidRPr="000C36FF" w:rsidRDefault="0062667A" w:rsidP="0062667A">
            <w:pPr>
              <w:spacing w:after="60" w:line="240" w:lineRule="auto"/>
              <w:jc w:val="both"/>
              <w:rPr>
                <w:rFonts w:ascii="Times New Roman" w:eastAsia="Calibri" w:hAnsi="Times New Roman" w:cs="Times New Roman"/>
              </w:rPr>
            </w:pPr>
          </w:p>
          <w:p w:rsidR="0062667A" w:rsidRPr="004C0B38" w:rsidRDefault="0062667A" w:rsidP="0062667A">
            <w:pPr>
              <w:spacing w:after="60" w:line="240" w:lineRule="auto"/>
              <w:jc w:val="both"/>
              <w:rPr>
                <w:rFonts w:ascii="Times New Roman" w:eastAsia="Times New Roman" w:hAnsi="Times New Roman" w:cs="Times New Roman"/>
                <w:sz w:val="20"/>
                <w:szCs w:val="20"/>
                <w:highlight w:val="yellow"/>
                <w:lang w:eastAsia="hr-HR"/>
              </w:rPr>
            </w:pPr>
          </w:p>
        </w:tc>
      </w:tr>
    </w:tbl>
    <w:p w:rsidR="0062667A" w:rsidRPr="0062667A" w:rsidRDefault="0062667A" w:rsidP="0062667A"/>
    <w:p w:rsidR="0062667A" w:rsidRPr="0062667A" w:rsidRDefault="0062667A" w:rsidP="0062667A"/>
    <w:p w:rsidR="0062667A" w:rsidRPr="0062667A" w:rsidRDefault="0062667A" w:rsidP="0062667A"/>
    <w:p w:rsidR="0062667A" w:rsidRPr="0062667A" w:rsidRDefault="0062667A" w:rsidP="0062667A"/>
    <w:p w:rsidR="0062667A" w:rsidRPr="0062667A" w:rsidRDefault="0062667A" w:rsidP="0062667A"/>
    <w:p w:rsidR="0062667A" w:rsidRPr="0062667A" w:rsidRDefault="0062667A" w:rsidP="0062667A"/>
    <w:p w:rsidR="00376C13" w:rsidRDefault="0062667A" w:rsidP="00376C13">
      <w:pPr>
        <w:pStyle w:val="Naslov2"/>
        <w:numPr>
          <w:ilvl w:val="0"/>
          <w:numId w:val="4"/>
        </w:numPr>
        <w:jc w:val="center"/>
        <w:rPr>
          <w:rFonts w:eastAsia="Times New Roman"/>
          <w:lang w:eastAsia="hr-HR"/>
        </w:rPr>
      </w:pPr>
      <w:r w:rsidRPr="0062667A">
        <w:rPr>
          <w:rFonts w:eastAsia="Times New Roman"/>
          <w:lang w:eastAsia="hr-HR"/>
        </w:rPr>
        <w:lastRenderedPageBreak/>
        <w:t>POSEBNI IZVJEŠTAJ</w:t>
      </w:r>
    </w:p>
    <w:p w:rsidR="0062667A" w:rsidRPr="000C36FF" w:rsidRDefault="00851DF2" w:rsidP="00376C13">
      <w:pPr>
        <w:pStyle w:val="Naslov2"/>
        <w:ind w:left="-851"/>
        <w:rPr>
          <w:rFonts w:ascii="Times New Roman" w:eastAsia="Times New Roman" w:hAnsi="Times New Roman" w:cs="Times New Roman"/>
          <w:sz w:val="22"/>
          <w:szCs w:val="22"/>
          <w:lang w:eastAsia="hr-HR"/>
        </w:rPr>
      </w:pPr>
      <w:r w:rsidRPr="000C36FF">
        <w:rPr>
          <w:rStyle w:val="Naslov2Char"/>
          <w:rFonts w:ascii="Times New Roman" w:hAnsi="Times New Roman" w:cs="Times New Roman"/>
          <w:sz w:val="22"/>
          <w:szCs w:val="22"/>
        </w:rPr>
        <w:t>Izvještaj o zaduživanju na domaćem i stranom tržištu kapitala</w:t>
      </w:r>
    </w:p>
    <w:tbl>
      <w:tblPr>
        <w:tblW w:w="11182" w:type="dxa"/>
        <w:tblInd w:w="-856" w:type="dxa"/>
        <w:tblLayout w:type="fixed"/>
        <w:tblLook w:val="04A0" w:firstRow="1" w:lastRow="0" w:firstColumn="1" w:lastColumn="0" w:noHBand="0" w:noVBand="1"/>
      </w:tblPr>
      <w:tblGrid>
        <w:gridCol w:w="460"/>
        <w:gridCol w:w="919"/>
        <w:gridCol w:w="920"/>
        <w:gridCol w:w="1225"/>
        <w:gridCol w:w="1379"/>
        <w:gridCol w:w="1225"/>
        <w:gridCol w:w="1225"/>
        <w:gridCol w:w="1225"/>
        <w:gridCol w:w="765"/>
        <w:gridCol w:w="917"/>
        <w:gridCol w:w="922"/>
      </w:tblGrid>
      <w:tr w:rsidR="0062667A" w:rsidRPr="0062667A" w:rsidTr="00B7649B">
        <w:trPr>
          <w:trHeight w:val="604"/>
        </w:trPr>
        <w:tc>
          <w:tcPr>
            <w:tcW w:w="4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Red.</w:t>
            </w:r>
            <w:r w:rsidRPr="0062667A">
              <w:rPr>
                <w:rFonts w:ascii="Times New Roman" w:eastAsia="Times New Roman" w:hAnsi="Times New Roman"/>
                <w:b/>
                <w:bCs/>
                <w:sz w:val="14"/>
                <w:szCs w:val="14"/>
                <w:lang w:eastAsia="hr-HR"/>
              </w:rPr>
              <w:br/>
              <w:t>br.</w:t>
            </w:r>
          </w:p>
        </w:tc>
        <w:tc>
          <w:tcPr>
            <w:tcW w:w="919"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Vrsta kredita i zajmova</w:t>
            </w:r>
          </w:p>
        </w:tc>
        <w:tc>
          <w:tcPr>
            <w:tcW w:w="920"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Naziv pravne osobe</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Ugovorena valuta i iznos</w:t>
            </w:r>
          </w:p>
        </w:tc>
        <w:tc>
          <w:tcPr>
            <w:tcW w:w="1379"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Stanje kredita i zajma 1.1.2023.</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Otplate glavnice</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Primljeni krediti i  zajmovi u tekućoj godini</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Stanje kredita i zajma</w:t>
            </w:r>
          </w:p>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 30.06.2023.</w:t>
            </w:r>
          </w:p>
        </w:tc>
        <w:tc>
          <w:tcPr>
            <w:tcW w:w="76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proofErr w:type="spellStart"/>
            <w:r w:rsidRPr="0062667A">
              <w:rPr>
                <w:rFonts w:ascii="Times New Roman" w:eastAsia="Times New Roman" w:hAnsi="Times New Roman"/>
                <w:b/>
                <w:bCs/>
                <w:sz w:val="14"/>
                <w:szCs w:val="14"/>
                <w:lang w:eastAsia="hr-HR"/>
              </w:rPr>
              <w:t>Revalor</w:t>
            </w:r>
            <w:proofErr w:type="spellEnd"/>
            <w:r w:rsidRPr="0062667A">
              <w:rPr>
                <w:rFonts w:ascii="Times New Roman" w:eastAsia="Times New Roman" w:hAnsi="Times New Roman"/>
                <w:b/>
                <w:bCs/>
                <w:sz w:val="14"/>
                <w:szCs w:val="14"/>
                <w:lang w:eastAsia="hr-HR"/>
              </w:rPr>
              <w:t>. / tečajne razlike u tekućoj godini</w:t>
            </w:r>
          </w:p>
        </w:tc>
        <w:tc>
          <w:tcPr>
            <w:tcW w:w="917"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 Datum sklapanja kredita i zajma</w:t>
            </w:r>
          </w:p>
        </w:tc>
        <w:tc>
          <w:tcPr>
            <w:tcW w:w="921"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Datum dospijeća kredita i zajma</w:t>
            </w:r>
          </w:p>
        </w:tc>
      </w:tr>
      <w:tr w:rsidR="0062667A" w:rsidRPr="0062667A" w:rsidTr="00B7649B">
        <w:trPr>
          <w:trHeight w:val="601"/>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Tuzemni kratkoročni krediti i zajmovi</w:t>
            </w: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Zagrebačka banka</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1.459.950,89 € 11.000.000,00 HRK</w:t>
            </w:r>
          </w:p>
        </w:tc>
        <w:tc>
          <w:tcPr>
            <w:tcW w:w="1379"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856.947,04 €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6.456.667,47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158.536,33 €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1.194.491,98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531.816,63 €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4.006.972,40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1.230.227,34 €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9.269.147,89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376C13">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20.10.202</w:t>
            </w:r>
            <w:r w:rsidR="00376C13">
              <w:rPr>
                <w:rFonts w:ascii="Times New Roman" w:eastAsia="Times New Roman" w:hAnsi="Times New Roman"/>
                <w:sz w:val="14"/>
                <w:szCs w:val="14"/>
                <w:lang w:eastAsia="hr-HR"/>
              </w:rPr>
              <w:t>2</w:t>
            </w:r>
            <w:r w:rsidRPr="0062667A">
              <w:rPr>
                <w:rFonts w:ascii="Times New Roman" w:eastAsia="Times New Roman" w:hAnsi="Times New Roman"/>
                <w:sz w:val="14"/>
                <w:szCs w:val="14"/>
                <w:lang w:eastAsia="hr-HR"/>
              </w:rPr>
              <w:t>.</w:t>
            </w:r>
          </w:p>
        </w:tc>
        <w:tc>
          <w:tcPr>
            <w:tcW w:w="921" w:type="dxa"/>
            <w:tcBorders>
              <w:top w:val="nil"/>
              <w:left w:val="nil"/>
              <w:bottom w:val="single" w:sz="4" w:space="0" w:color="auto"/>
              <w:right w:val="single" w:sz="4" w:space="0" w:color="auto"/>
            </w:tcBorders>
            <w:shd w:val="clear" w:color="auto" w:fill="auto"/>
            <w:noWrap/>
            <w:vAlign w:val="center"/>
            <w:hideMark/>
          </w:tcPr>
          <w:p w:rsidR="0062667A" w:rsidRPr="0062667A" w:rsidRDefault="0062667A" w:rsidP="00376C13">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20.10.202</w:t>
            </w:r>
            <w:r w:rsidR="00376C13">
              <w:rPr>
                <w:rFonts w:ascii="Times New Roman" w:eastAsia="Times New Roman" w:hAnsi="Times New Roman"/>
                <w:sz w:val="14"/>
                <w:szCs w:val="14"/>
                <w:lang w:eastAsia="hr-HR"/>
              </w:rPr>
              <w:t>3</w:t>
            </w:r>
            <w:r w:rsidRPr="0062667A">
              <w:rPr>
                <w:rFonts w:ascii="Times New Roman" w:eastAsia="Times New Roman" w:hAnsi="Times New Roman"/>
                <w:sz w:val="14"/>
                <w:szCs w:val="14"/>
                <w:lang w:eastAsia="hr-HR"/>
              </w:rPr>
              <w:t>.</w:t>
            </w:r>
          </w:p>
        </w:tc>
      </w:tr>
      <w:tr w:rsidR="0062667A" w:rsidRPr="0062667A" w:rsidTr="00B7649B">
        <w:trPr>
          <w:trHeight w:val="49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w:t>
            </w:r>
          </w:p>
        </w:tc>
        <w:tc>
          <w:tcPr>
            <w:tcW w:w="1225" w:type="dxa"/>
            <w:tcBorders>
              <w:top w:val="nil"/>
              <w:left w:val="nil"/>
              <w:bottom w:val="nil"/>
              <w:right w:val="nil"/>
            </w:tcBorders>
            <w:shd w:val="clear" w:color="000000" w:fill="C0C0C0"/>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856.947,04 €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6.456.667,47 </w:t>
            </w:r>
            <w:r w:rsidRPr="0062667A">
              <w:rPr>
                <w:rFonts w:ascii="Times New Roman" w:eastAsia="Times New Roman" w:hAnsi="Times New Roman"/>
                <w:sz w:val="14"/>
                <w:szCs w:val="14"/>
                <w:lang w:eastAsia="hr-HR"/>
              </w:rPr>
              <w:t>HRK</w:t>
            </w:r>
          </w:p>
        </w:tc>
        <w:tc>
          <w:tcPr>
            <w:tcW w:w="1225" w:type="dxa"/>
            <w:tcBorders>
              <w:top w:val="single" w:sz="4" w:space="0" w:color="auto"/>
              <w:left w:val="nil"/>
              <w:bottom w:val="single" w:sz="4" w:space="0" w:color="auto"/>
              <w:right w:val="single" w:sz="4" w:space="0" w:color="000000"/>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158.536,33 €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sz w:val="14"/>
                <w:szCs w:val="14"/>
                <w:lang w:eastAsia="hr-HR"/>
              </w:rPr>
              <w:t>1.194.491,98 HRK</w:t>
            </w:r>
          </w:p>
        </w:tc>
        <w:tc>
          <w:tcPr>
            <w:tcW w:w="1225" w:type="dxa"/>
            <w:tcBorders>
              <w:top w:val="single" w:sz="4" w:space="0" w:color="auto"/>
              <w:left w:val="nil"/>
              <w:bottom w:val="single" w:sz="4" w:space="0" w:color="auto"/>
              <w:right w:val="single" w:sz="4" w:space="0" w:color="000000"/>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531.816,63 €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sz w:val="14"/>
                <w:szCs w:val="14"/>
                <w:lang w:eastAsia="hr-HR"/>
              </w:rPr>
              <w:t>4.006.972,40 HRK</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p>
        </w:tc>
        <w:tc>
          <w:tcPr>
            <w:tcW w:w="1225" w:type="dxa"/>
            <w:tcBorders>
              <w:top w:val="single" w:sz="4" w:space="0" w:color="auto"/>
              <w:left w:val="nil"/>
              <w:bottom w:val="single" w:sz="4" w:space="0" w:color="auto"/>
              <w:right w:val="single" w:sz="4" w:space="0" w:color="000000"/>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1.230.227,34 €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sz w:val="14"/>
                <w:szCs w:val="14"/>
                <w:lang w:eastAsia="hr-HR"/>
              </w:rPr>
              <w:t>9.269.147,89 HRK</w:t>
            </w:r>
          </w:p>
        </w:tc>
        <w:tc>
          <w:tcPr>
            <w:tcW w:w="2604" w:type="dxa"/>
            <w:gridSpan w:val="3"/>
            <w:tcBorders>
              <w:top w:val="single" w:sz="4" w:space="0" w:color="auto"/>
              <w:left w:val="nil"/>
              <w:bottom w:val="single" w:sz="4" w:space="0" w:color="auto"/>
              <w:right w:val="single" w:sz="4" w:space="0" w:color="000000"/>
            </w:tcBorders>
            <w:shd w:val="clear" w:color="000000" w:fill="C0C0C0"/>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92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2</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Tuzemni dugoročni krediti i zajmovi</w:t>
            </w: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Hrvatska banka za obnovu i razvitak</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bCs/>
                <w:sz w:val="14"/>
                <w:szCs w:val="14"/>
                <w:lang w:eastAsia="hr-HR"/>
              </w:rPr>
            </w:pP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2.745.785,37 €</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20.688.119,87 HRK</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2.160.783,36 €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6.931.639,13 HRK</w:t>
            </w:r>
          </w:p>
          <w:p w:rsidR="0062667A" w:rsidRPr="0062667A" w:rsidRDefault="0062667A" w:rsidP="0062667A">
            <w:pPr>
              <w:spacing w:after="0" w:line="240" w:lineRule="auto"/>
              <w:jc w:val="right"/>
              <w:rPr>
                <w:rFonts w:ascii="Times New Roman" w:eastAsia="Times New Roman" w:hAnsi="Times New Roman"/>
                <w:sz w:val="14"/>
                <w:szCs w:val="14"/>
                <w:lang w:eastAsia="hr-HR"/>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86.431,34 €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651.216,93 HRK</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2.074.352,02 €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15.629.205,29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28.06.2019.</w:t>
            </w:r>
          </w:p>
        </w:tc>
        <w:tc>
          <w:tcPr>
            <w:tcW w:w="921"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30.04.2035.</w:t>
            </w:r>
          </w:p>
        </w:tc>
      </w:tr>
      <w:tr w:rsidR="0062667A" w:rsidRPr="0062667A" w:rsidTr="00B7649B">
        <w:trPr>
          <w:trHeight w:val="730"/>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Hrvatska banka za obnovu i razvitak</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bCs/>
                <w:sz w:val="14"/>
                <w:szCs w:val="14"/>
                <w:lang w:eastAsia="hr-HR"/>
              </w:rPr>
            </w:pP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3.407.120,92 €</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25.670.952,60 HRK</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p>
        </w:tc>
        <w:tc>
          <w:tcPr>
            <w:tcW w:w="1379"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3.210.556,25 €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25.670.952,60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131.043,12 €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987.344,39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3.079.513,13 €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23.202.591,68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28.06.2019.</w:t>
            </w:r>
          </w:p>
        </w:tc>
        <w:tc>
          <w:tcPr>
            <w:tcW w:w="921"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31.03.2035.</w:t>
            </w:r>
          </w:p>
        </w:tc>
      </w:tr>
      <w:tr w:rsidR="0062667A" w:rsidRPr="0062667A" w:rsidTr="00B7649B">
        <w:trPr>
          <w:trHeight w:val="601"/>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Hrvatska banka za obnovu i razvitak</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bCs/>
                <w:sz w:val="14"/>
                <w:szCs w:val="14"/>
                <w:lang w:eastAsia="hr-HR"/>
              </w:rPr>
            </w:pP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552.391,48 €</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4.161.993,63 HRK</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p>
        </w:tc>
        <w:tc>
          <w:tcPr>
            <w:tcW w:w="1379"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507.694,56 €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3.978.233,67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20.308,45 €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153.014,02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487.386,11 €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3.672.210,65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28.06.2019.</w:t>
            </w:r>
          </w:p>
        </w:tc>
        <w:tc>
          <w:tcPr>
            <w:tcW w:w="921"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30.04.2035.</w:t>
            </w:r>
          </w:p>
        </w:tc>
      </w:tr>
      <w:tr w:rsidR="0062667A" w:rsidRPr="0062667A" w:rsidTr="00B7649B">
        <w:trPr>
          <w:trHeight w:val="486"/>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xml:space="preserve">Zagrebačka banka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bCs/>
                <w:sz w:val="14"/>
                <w:szCs w:val="14"/>
                <w:lang w:eastAsia="hr-HR"/>
              </w:rPr>
            </w:pP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1.327.228,08 €</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10.000.000,00 HRK</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p>
        </w:tc>
        <w:tc>
          <w:tcPr>
            <w:tcW w:w="1379"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1.225.133,00 €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10.000.000,00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51.047,24 €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384.615,43 HRK</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1.174.085,76 €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8.846.149,16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04.07.2019.</w:t>
            </w:r>
          </w:p>
        </w:tc>
        <w:tc>
          <w:tcPr>
            <w:tcW w:w="921"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31.12.2034.</w:t>
            </w:r>
          </w:p>
        </w:tc>
      </w:tr>
      <w:tr w:rsidR="0062667A" w:rsidRPr="0062667A" w:rsidTr="00B7649B">
        <w:trPr>
          <w:trHeight w:val="530"/>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Zagrebačka banka</w:t>
            </w:r>
          </w:p>
        </w:tc>
        <w:tc>
          <w:tcPr>
            <w:tcW w:w="1225" w:type="dxa"/>
            <w:tcBorders>
              <w:top w:val="single" w:sz="4" w:space="0" w:color="auto"/>
              <w:left w:val="nil"/>
              <w:bottom w:val="nil"/>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bCs/>
                <w:sz w:val="14"/>
                <w:szCs w:val="14"/>
                <w:lang w:eastAsia="hr-HR"/>
              </w:rPr>
            </w:pP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2.654.456,17 €</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r w:rsidRPr="0062667A">
              <w:rPr>
                <w:rFonts w:ascii="Times New Roman" w:eastAsia="Times New Roman" w:hAnsi="Times New Roman"/>
                <w:bCs/>
                <w:sz w:val="14"/>
                <w:szCs w:val="14"/>
                <w:lang w:eastAsia="hr-HR"/>
              </w:rPr>
              <w:t>20.000.000,00 HRK</w:t>
            </w:r>
          </w:p>
          <w:p w:rsidR="0062667A" w:rsidRPr="0062667A" w:rsidRDefault="0062667A" w:rsidP="0062667A">
            <w:pPr>
              <w:spacing w:after="0" w:line="240" w:lineRule="auto"/>
              <w:jc w:val="right"/>
              <w:rPr>
                <w:rFonts w:ascii="Times New Roman" w:eastAsia="Times New Roman" w:hAnsi="Times New Roman"/>
                <w:bCs/>
                <w:sz w:val="14"/>
                <w:szCs w:val="14"/>
                <w:lang w:eastAsia="hr-HR"/>
              </w:rPr>
            </w:pPr>
          </w:p>
        </w:tc>
        <w:tc>
          <w:tcPr>
            <w:tcW w:w="1379" w:type="dxa"/>
            <w:tcBorders>
              <w:top w:val="nil"/>
              <w:left w:val="nil"/>
              <w:bottom w:val="nil"/>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2.654.452,70 €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20.000.000,00 HRK</w:t>
            </w:r>
          </w:p>
        </w:tc>
        <w:tc>
          <w:tcPr>
            <w:tcW w:w="1225" w:type="dxa"/>
            <w:tcBorders>
              <w:top w:val="nil"/>
              <w:left w:val="nil"/>
              <w:bottom w:val="nil"/>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nil"/>
              <w:left w:val="nil"/>
              <w:bottom w:val="nil"/>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1225" w:type="dxa"/>
            <w:tcBorders>
              <w:top w:val="single" w:sz="4" w:space="0" w:color="auto"/>
              <w:left w:val="nil"/>
              <w:bottom w:val="nil"/>
              <w:right w:val="single" w:sz="4" w:space="0" w:color="auto"/>
            </w:tcBorders>
            <w:shd w:val="clear" w:color="auto" w:fill="auto"/>
            <w:vAlign w:val="center"/>
            <w:hideMark/>
          </w:tcPr>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xml:space="preserve">2.654.452,70 € </w:t>
            </w:r>
          </w:p>
          <w:p w:rsidR="0062667A" w:rsidRPr="0062667A" w:rsidRDefault="0062667A" w:rsidP="0062667A">
            <w:pPr>
              <w:spacing w:after="0" w:line="240" w:lineRule="auto"/>
              <w:jc w:val="right"/>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19.999.973,87 HRK</w:t>
            </w:r>
          </w:p>
        </w:tc>
        <w:tc>
          <w:tcPr>
            <w:tcW w:w="76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0,00</w:t>
            </w:r>
          </w:p>
        </w:tc>
        <w:tc>
          <w:tcPr>
            <w:tcW w:w="917"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23.07.2020.</w:t>
            </w:r>
          </w:p>
        </w:tc>
        <w:tc>
          <w:tcPr>
            <w:tcW w:w="921"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30.04.2036.</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9.758.619,87€</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76.580.825,40 KN</w:t>
            </w:r>
          </w:p>
        </w:tc>
        <w:tc>
          <w:tcPr>
            <w:tcW w:w="1225"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288.830,15 €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2.176.190,77 </w:t>
            </w:r>
            <w:r w:rsidRPr="0062667A">
              <w:rPr>
                <w:rFonts w:ascii="Times New Roman" w:eastAsia="Times New Roman" w:hAnsi="Times New Roman"/>
                <w:sz w:val="14"/>
                <w:szCs w:val="14"/>
                <w:lang w:eastAsia="hr-HR"/>
              </w:rPr>
              <w:t>HRK</w:t>
            </w:r>
          </w:p>
        </w:tc>
        <w:tc>
          <w:tcPr>
            <w:tcW w:w="1225"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single" w:sz="4" w:space="0" w:color="auto"/>
              <w:left w:val="nil"/>
              <w:bottom w:val="single" w:sz="4" w:space="0" w:color="auto"/>
              <w:right w:val="single" w:sz="4" w:space="0" w:color="auto"/>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9.469.789,72 €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71.350.130,65 </w:t>
            </w:r>
            <w:r w:rsidRPr="0062667A">
              <w:rPr>
                <w:rFonts w:ascii="Times New Roman" w:eastAsia="Times New Roman" w:hAnsi="Times New Roman"/>
                <w:sz w:val="14"/>
                <w:szCs w:val="14"/>
                <w:lang w:eastAsia="hr-HR"/>
              </w:rPr>
              <w:t>HRK</w:t>
            </w:r>
          </w:p>
        </w:tc>
        <w:tc>
          <w:tcPr>
            <w:tcW w:w="2604" w:type="dxa"/>
            <w:gridSpan w:val="3"/>
            <w:vMerge w:val="restart"/>
            <w:tcBorders>
              <w:top w:val="single" w:sz="4" w:space="0" w:color="auto"/>
              <w:left w:val="nil"/>
              <w:bottom w:val="single" w:sz="4" w:space="0" w:color="000000"/>
              <w:right w:val="single" w:sz="4" w:space="0" w:color="000000"/>
            </w:tcBorders>
            <w:shd w:val="clear" w:color="000000" w:fill="C0C0C0"/>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22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 (1+2)</w:t>
            </w:r>
          </w:p>
        </w:tc>
        <w:tc>
          <w:tcPr>
            <w:tcW w:w="1225" w:type="dxa"/>
            <w:tcBorders>
              <w:top w:val="nil"/>
              <w:left w:val="nil"/>
              <w:bottom w:val="single" w:sz="4" w:space="0" w:color="auto"/>
              <w:right w:val="single" w:sz="4" w:space="0" w:color="auto"/>
            </w:tcBorders>
            <w:shd w:val="clear" w:color="000000" w:fill="C0C0C0"/>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nil"/>
              <w:left w:val="nil"/>
              <w:bottom w:val="single" w:sz="4" w:space="0" w:color="auto"/>
              <w:right w:val="single" w:sz="4" w:space="0" w:color="000000"/>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10.615.566,91 €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79.982.988,88 KN</w:t>
            </w:r>
          </w:p>
        </w:tc>
        <w:tc>
          <w:tcPr>
            <w:tcW w:w="1225" w:type="dxa"/>
            <w:tcBorders>
              <w:top w:val="nil"/>
              <w:left w:val="nil"/>
              <w:bottom w:val="single" w:sz="4" w:space="0" w:color="auto"/>
              <w:right w:val="single" w:sz="4" w:space="0" w:color="000000"/>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447.366,48 €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3.370.682,74 </w:t>
            </w:r>
            <w:r w:rsidRPr="0062667A">
              <w:rPr>
                <w:rFonts w:ascii="Times New Roman" w:eastAsia="Times New Roman" w:hAnsi="Times New Roman"/>
                <w:sz w:val="14"/>
                <w:szCs w:val="14"/>
                <w:lang w:eastAsia="hr-HR"/>
              </w:rPr>
              <w:t>HRK</w:t>
            </w:r>
          </w:p>
        </w:tc>
        <w:tc>
          <w:tcPr>
            <w:tcW w:w="1225" w:type="dxa"/>
            <w:tcBorders>
              <w:top w:val="nil"/>
              <w:left w:val="nil"/>
              <w:bottom w:val="single" w:sz="4" w:space="0" w:color="auto"/>
              <w:right w:val="single" w:sz="4" w:space="0" w:color="000000"/>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531.816,63 €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4.006.972,40 </w:t>
            </w:r>
            <w:r w:rsidRPr="0062667A">
              <w:rPr>
                <w:rFonts w:ascii="Times New Roman" w:eastAsia="Times New Roman" w:hAnsi="Times New Roman"/>
                <w:sz w:val="14"/>
                <w:szCs w:val="14"/>
                <w:lang w:eastAsia="hr-HR"/>
              </w:rPr>
              <w:t>HRK</w:t>
            </w:r>
          </w:p>
        </w:tc>
        <w:tc>
          <w:tcPr>
            <w:tcW w:w="1225" w:type="dxa"/>
            <w:tcBorders>
              <w:top w:val="nil"/>
              <w:left w:val="nil"/>
              <w:bottom w:val="single" w:sz="4" w:space="0" w:color="auto"/>
              <w:right w:val="single" w:sz="4" w:space="0" w:color="000000"/>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10.700.017,06 €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80.619.278,54 </w:t>
            </w:r>
            <w:r w:rsidRPr="0062667A">
              <w:rPr>
                <w:rFonts w:ascii="Times New Roman" w:eastAsia="Times New Roman" w:hAnsi="Times New Roman"/>
                <w:sz w:val="14"/>
                <w:szCs w:val="14"/>
                <w:lang w:eastAsia="hr-HR"/>
              </w:rPr>
              <w:t>HRK</w:t>
            </w:r>
          </w:p>
        </w:tc>
        <w:tc>
          <w:tcPr>
            <w:tcW w:w="2604" w:type="dxa"/>
            <w:gridSpan w:val="3"/>
            <w:vMerge/>
            <w:tcBorders>
              <w:top w:val="nil"/>
              <w:left w:val="nil"/>
              <w:bottom w:val="single" w:sz="4" w:space="0" w:color="auto"/>
              <w:right w:val="single" w:sz="4" w:space="0" w:color="000000"/>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r>
      <w:tr w:rsidR="0062667A" w:rsidRPr="0062667A" w:rsidTr="00B7649B">
        <w:trPr>
          <w:trHeight w:val="307"/>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3</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Inozemni kratkoročni krediti i zajmovi</w:t>
            </w: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single" w:sz="4" w:space="0" w:color="auto"/>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single" w:sz="4" w:space="0" w:color="auto"/>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single" w:sz="4" w:space="0" w:color="auto"/>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single" w:sz="4" w:space="0" w:color="auto"/>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nil"/>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nil"/>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nil"/>
              <w:left w:val="nil"/>
              <w:bottom w:val="nil"/>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nil"/>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nil"/>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nil"/>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w:t>
            </w:r>
          </w:p>
        </w:tc>
        <w:tc>
          <w:tcPr>
            <w:tcW w:w="1225" w:type="dxa"/>
            <w:tcBorders>
              <w:top w:val="single" w:sz="4" w:space="0" w:color="auto"/>
              <w:left w:val="nil"/>
              <w:bottom w:val="single" w:sz="4" w:space="0" w:color="auto"/>
              <w:right w:val="single" w:sz="4" w:space="0" w:color="auto"/>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single" w:sz="4" w:space="0" w:color="auto"/>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2604" w:type="dxa"/>
            <w:gridSpan w:val="3"/>
            <w:tcBorders>
              <w:top w:val="single" w:sz="4" w:space="0" w:color="auto"/>
              <w:left w:val="nil"/>
              <w:bottom w:val="single" w:sz="4" w:space="0" w:color="auto"/>
              <w:right w:val="single" w:sz="4" w:space="0" w:color="000000"/>
            </w:tcBorders>
            <w:shd w:val="clear" w:color="000000" w:fill="C0C0C0"/>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4</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Inozemni dugoročni krediti i zajmovi</w:t>
            </w: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379"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122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765"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17"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c>
          <w:tcPr>
            <w:tcW w:w="921" w:type="dxa"/>
            <w:tcBorders>
              <w:top w:val="nil"/>
              <w:left w:val="nil"/>
              <w:bottom w:val="single" w:sz="4" w:space="0" w:color="auto"/>
              <w:right w:val="single" w:sz="4" w:space="0" w:color="auto"/>
            </w:tcBorders>
            <w:shd w:val="clear" w:color="auto" w:fill="auto"/>
            <w:hideMark/>
          </w:tcPr>
          <w:p w:rsidR="0062667A" w:rsidRPr="0062667A" w:rsidRDefault="0062667A" w:rsidP="0062667A">
            <w:pPr>
              <w:spacing w:after="0" w:line="240" w:lineRule="auto"/>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460"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b/>
                <w:bCs/>
                <w:sz w:val="14"/>
                <w:szCs w:val="14"/>
                <w:lang w:eastAsia="hr-HR"/>
              </w:rPr>
            </w:pPr>
          </w:p>
        </w:tc>
        <w:tc>
          <w:tcPr>
            <w:tcW w:w="919" w:type="dxa"/>
            <w:vMerge/>
            <w:tcBorders>
              <w:top w:val="nil"/>
              <w:left w:val="single" w:sz="4" w:space="0" w:color="auto"/>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c>
          <w:tcPr>
            <w:tcW w:w="920" w:type="dxa"/>
            <w:tcBorders>
              <w:top w:val="nil"/>
              <w:left w:val="nil"/>
              <w:bottom w:val="single" w:sz="4" w:space="0" w:color="auto"/>
              <w:right w:val="single" w:sz="4" w:space="0" w:color="auto"/>
            </w:tcBorders>
            <w:shd w:val="clear" w:color="auto" w:fill="auto"/>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w:t>
            </w:r>
          </w:p>
        </w:tc>
        <w:tc>
          <w:tcPr>
            <w:tcW w:w="1225" w:type="dxa"/>
            <w:tcBorders>
              <w:top w:val="nil"/>
              <w:left w:val="nil"/>
              <w:bottom w:val="nil"/>
              <w:right w:val="nil"/>
            </w:tcBorders>
            <w:shd w:val="clear" w:color="000000" w:fill="C0C0C0"/>
            <w:vAlign w:val="center"/>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nil"/>
              <w:left w:val="single" w:sz="4" w:space="0" w:color="auto"/>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2604" w:type="dxa"/>
            <w:gridSpan w:val="3"/>
            <w:vMerge w:val="restart"/>
            <w:tcBorders>
              <w:top w:val="single" w:sz="4" w:space="0" w:color="auto"/>
              <w:left w:val="nil"/>
              <w:bottom w:val="single" w:sz="4" w:space="0" w:color="000000"/>
              <w:right w:val="single" w:sz="4" w:space="0" w:color="000000"/>
            </w:tcBorders>
            <w:shd w:val="clear" w:color="000000" w:fill="C0C0C0"/>
            <w:hideMark/>
          </w:tcPr>
          <w:p w:rsidR="0062667A" w:rsidRPr="0062667A" w:rsidRDefault="0062667A" w:rsidP="0062667A">
            <w:pPr>
              <w:spacing w:after="0" w:line="240" w:lineRule="auto"/>
              <w:jc w:val="center"/>
              <w:rPr>
                <w:rFonts w:ascii="Times New Roman" w:eastAsia="Times New Roman" w:hAnsi="Times New Roman"/>
                <w:sz w:val="14"/>
                <w:szCs w:val="14"/>
                <w:lang w:eastAsia="hr-HR"/>
              </w:rPr>
            </w:pPr>
            <w:r w:rsidRPr="0062667A">
              <w:rPr>
                <w:rFonts w:ascii="Times New Roman" w:eastAsia="Times New Roman" w:hAnsi="Times New Roman"/>
                <w:sz w:val="14"/>
                <w:szCs w:val="14"/>
                <w:lang w:eastAsia="hr-HR"/>
              </w:rPr>
              <w:t> </w:t>
            </w:r>
          </w:p>
        </w:tc>
      </w:tr>
      <w:tr w:rsidR="0062667A" w:rsidRPr="0062667A" w:rsidTr="00B7649B">
        <w:trPr>
          <w:trHeight w:val="307"/>
        </w:trPr>
        <w:tc>
          <w:tcPr>
            <w:tcW w:w="22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 (3+4)</w:t>
            </w:r>
          </w:p>
        </w:tc>
        <w:tc>
          <w:tcPr>
            <w:tcW w:w="1225" w:type="dxa"/>
            <w:tcBorders>
              <w:top w:val="single" w:sz="4" w:space="0" w:color="auto"/>
              <w:left w:val="nil"/>
              <w:bottom w:val="single" w:sz="4" w:space="0" w:color="auto"/>
              <w:right w:val="single" w:sz="4" w:space="0" w:color="auto"/>
            </w:tcBorders>
            <w:shd w:val="clear" w:color="000000" w:fill="C0C0C0"/>
            <w:noWrap/>
            <w:vAlign w:val="bottom"/>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1225" w:type="dxa"/>
            <w:tcBorders>
              <w:top w:val="nil"/>
              <w:left w:val="nil"/>
              <w:bottom w:val="single" w:sz="4" w:space="0" w:color="auto"/>
              <w:right w:val="single" w:sz="4" w:space="0" w:color="auto"/>
            </w:tcBorders>
            <w:shd w:val="pct25" w:color="C0C0C0" w:fill="auto"/>
            <w:noWrap/>
            <w:vAlign w:val="center"/>
            <w:hideMark/>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0,00</w:t>
            </w:r>
          </w:p>
        </w:tc>
        <w:tc>
          <w:tcPr>
            <w:tcW w:w="2604" w:type="dxa"/>
            <w:gridSpan w:val="3"/>
            <w:vMerge/>
            <w:tcBorders>
              <w:top w:val="nil"/>
              <w:left w:val="nil"/>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r>
      <w:tr w:rsidR="0062667A" w:rsidRPr="0062667A" w:rsidTr="00B7649B">
        <w:trPr>
          <w:trHeight w:val="307"/>
        </w:trPr>
        <w:tc>
          <w:tcPr>
            <w:tcW w:w="22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UKUPNO (1+2+3+4)</w:t>
            </w:r>
          </w:p>
        </w:tc>
        <w:tc>
          <w:tcPr>
            <w:tcW w:w="1225" w:type="dxa"/>
            <w:tcBorders>
              <w:top w:val="nil"/>
              <w:left w:val="nil"/>
              <w:bottom w:val="single" w:sz="4" w:space="0" w:color="auto"/>
              <w:right w:val="single" w:sz="4" w:space="0" w:color="auto"/>
            </w:tcBorders>
            <w:shd w:val="clear" w:color="000000" w:fill="C0C0C0"/>
            <w:noWrap/>
            <w:vAlign w:val="bottom"/>
            <w:hideMark/>
          </w:tcPr>
          <w:p w:rsidR="0062667A" w:rsidRPr="0062667A" w:rsidRDefault="0062667A" w:rsidP="0062667A">
            <w:pPr>
              <w:spacing w:after="0" w:line="240" w:lineRule="auto"/>
              <w:jc w:val="center"/>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w:t>
            </w:r>
          </w:p>
        </w:tc>
        <w:tc>
          <w:tcPr>
            <w:tcW w:w="1379" w:type="dxa"/>
            <w:tcBorders>
              <w:top w:val="nil"/>
              <w:left w:val="nil"/>
              <w:bottom w:val="single" w:sz="4" w:space="0" w:color="auto"/>
              <w:right w:val="single" w:sz="4" w:space="0" w:color="auto"/>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10.615.566,91 €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79.982.988,88 </w:t>
            </w:r>
            <w:r w:rsidRPr="0062667A">
              <w:rPr>
                <w:rFonts w:ascii="Times New Roman" w:eastAsia="Times New Roman" w:hAnsi="Times New Roman"/>
                <w:sz w:val="14"/>
                <w:szCs w:val="14"/>
                <w:lang w:eastAsia="hr-HR"/>
              </w:rPr>
              <w:t>HRK</w:t>
            </w:r>
          </w:p>
        </w:tc>
        <w:tc>
          <w:tcPr>
            <w:tcW w:w="1225" w:type="dxa"/>
            <w:tcBorders>
              <w:top w:val="nil"/>
              <w:left w:val="nil"/>
              <w:bottom w:val="single" w:sz="4" w:space="0" w:color="auto"/>
              <w:right w:val="single" w:sz="4" w:space="0" w:color="auto"/>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447.366,48 €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3.370.682,74 </w:t>
            </w:r>
            <w:r w:rsidRPr="0062667A">
              <w:rPr>
                <w:rFonts w:ascii="Times New Roman" w:eastAsia="Times New Roman" w:hAnsi="Times New Roman"/>
                <w:sz w:val="14"/>
                <w:szCs w:val="14"/>
                <w:lang w:eastAsia="hr-HR"/>
              </w:rPr>
              <w:t>HRK</w:t>
            </w:r>
          </w:p>
        </w:tc>
        <w:tc>
          <w:tcPr>
            <w:tcW w:w="1225" w:type="dxa"/>
            <w:tcBorders>
              <w:top w:val="nil"/>
              <w:left w:val="nil"/>
              <w:bottom w:val="single" w:sz="4" w:space="0" w:color="auto"/>
              <w:right w:val="single" w:sz="4" w:space="0" w:color="auto"/>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531.816,63 €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4.006.972,40 </w:t>
            </w:r>
            <w:r w:rsidRPr="0062667A">
              <w:rPr>
                <w:rFonts w:ascii="Times New Roman" w:eastAsia="Times New Roman" w:hAnsi="Times New Roman"/>
                <w:sz w:val="14"/>
                <w:szCs w:val="14"/>
                <w:lang w:eastAsia="hr-HR"/>
              </w:rPr>
              <w:t>HRK</w:t>
            </w:r>
          </w:p>
        </w:tc>
        <w:tc>
          <w:tcPr>
            <w:tcW w:w="1225" w:type="dxa"/>
            <w:tcBorders>
              <w:top w:val="nil"/>
              <w:left w:val="nil"/>
              <w:bottom w:val="single" w:sz="4" w:space="0" w:color="auto"/>
              <w:right w:val="single" w:sz="4" w:space="0" w:color="auto"/>
            </w:tcBorders>
            <w:shd w:val="pct25" w:color="C0C0C0" w:fill="auto"/>
            <w:noWrap/>
            <w:vAlign w:val="center"/>
          </w:tcPr>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10.700.017,06 €</w:t>
            </w:r>
          </w:p>
          <w:p w:rsidR="0062667A" w:rsidRPr="0062667A" w:rsidRDefault="0062667A" w:rsidP="0062667A">
            <w:pPr>
              <w:spacing w:after="0" w:line="240" w:lineRule="auto"/>
              <w:jc w:val="right"/>
              <w:rPr>
                <w:rFonts w:ascii="Times New Roman" w:eastAsia="Times New Roman" w:hAnsi="Times New Roman"/>
                <w:b/>
                <w:bCs/>
                <w:sz w:val="14"/>
                <w:szCs w:val="14"/>
                <w:lang w:eastAsia="hr-HR"/>
              </w:rPr>
            </w:pPr>
            <w:r w:rsidRPr="0062667A">
              <w:rPr>
                <w:rFonts w:ascii="Times New Roman" w:eastAsia="Times New Roman" w:hAnsi="Times New Roman"/>
                <w:b/>
                <w:bCs/>
                <w:sz w:val="14"/>
                <w:szCs w:val="14"/>
                <w:lang w:eastAsia="hr-HR"/>
              </w:rPr>
              <w:t xml:space="preserve">80.619.278,54 </w:t>
            </w:r>
            <w:r w:rsidRPr="0062667A">
              <w:rPr>
                <w:rFonts w:ascii="Times New Roman" w:eastAsia="Times New Roman" w:hAnsi="Times New Roman"/>
                <w:sz w:val="14"/>
                <w:szCs w:val="14"/>
                <w:lang w:eastAsia="hr-HR"/>
              </w:rPr>
              <w:t>HRK</w:t>
            </w:r>
          </w:p>
        </w:tc>
        <w:tc>
          <w:tcPr>
            <w:tcW w:w="2604" w:type="dxa"/>
            <w:gridSpan w:val="3"/>
            <w:vMerge/>
            <w:tcBorders>
              <w:top w:val="nil"/>
              <w:left w:val="nil"/>
              <w:bottom w:val="single" w:sz="4" w:space="0" w:color="auto"/>
              <w:right w:val="single" w:sz="4" w:space="0" w:color="auto"/>
            </w:tcBorders>
            <w:vAlign w:val="center"/>
            <w:hideMark/>
          </w:tcPr>
          <w:p w:rsidR="0062667A" w:rsidRPr="0062667A" w:rsidRDefault="0062667A" w:rsidP="0062667A">
            <w:pPr>
              <w:spacing w:after="0" w:line="240" w:lineRule="auto"/>
              <w:rPr>
                <w:rFonts w:ascii="Times New Roman" w:eastAsia="Times New Roman" w:hAnsi="Times New Roman"/>
                <w:sz w:val="14"/>
                <w:szCs w:val="14"/>
                <w:lang w:eastAsia="hr-HR"/>
              </w:rPr>
            </w:pPr>
          </w:p>
        </w:tc>
      </w:tr>
    </w:tbl>
    <w:p w:rsidR="0062667A" w:rsidRPr="0062667A" w:rsidRDefault="0062667A" w:rsidP="0062667A">
      <w:pPr>
        <w:jc w:val="both"/>
        <w:rPr>
          <w:rFonts w:eastAsia="Times New Roman" w:cstheme="minorHAnsi"/>
          <w:bCs/>
          <w:color w:val="000000"/>
          <w:sz w:val="14"/>
          <w:szCs w:val="14"/>
          <w:lang w:eastAsia="hr-HR"/>
        </w:rPr>
      </w:pPr>
    </w:p>
    <w:p w:rsidR="0062667A" w:rsidRPr="000C36FF" w:rsidRDefault="0062667A" w:rsidP="0062667A">
      <w:pPr>
        <w:ind w:left="-426"/>
        <w:jc w:val="both"/>
        <w:rPr>
          <w:rFonts w:ascii="Times New Roman" w:hAnsi="Times New Roman" w:cs="Times New Roman"/>
        </w:rPr>
      </w:pPr>
      <w:r w:rsidRPr="000C36FF">
        <w:rPr>
          <w:rFonts w:ascii="Times New Roman" w:hAnsi="Times New Roman" w:cs="Times New Roman"/>
        </w:rPr>
        <w:t>Izdaci za primljene kredite, zajmove te otplate iznose 447.366,48 eura, a odnose se na dospjele obveze po svim investicijskim kreditima za energetsku obnovu objekata Bolnice (3 kredita HBOR-a i 2 kredita Zagrebačke banke) te na Okvirni kredit.</w:t>
      </w:r>
    </w:p>
    <w:p w:rsidR="0062667A" w:rsidRPr="000C36FF" w:rsidRDefault="002C2336" w:rsidP="0062667A">
      <w:pPr>
        <w:ind w:left="-426"/>
        <w:jc w:val="both"/>
        <w:rPr>
          <w:rFonts w:ascii="Times New Roman" w:hAnsi="Times New Roman" w:cs="Times New Roman"/>
        </w:rPr>
      </w:pPr>
      <w:r w:rsidRPr="000C36FF">
        <w:rPr>
          <w:rFonts w:ascii="Times New Roman" w:hAnsi="Times New Roman" w:cs="Times New Roman"/>
        </w:rPr>
        <w:t xml:space="preserve">                                                                                                                </w:t>
      </w:r>
      <w:r w:rsidR="00F17A69">
        <w:rPr>
          <w:rFonts w:ascii="Times New Roman" w:hAnsi="Times New Roman" w:cs="Times New Roman"/>
        </w:rPr>
        <w:t xml:space="preserve">                    </w:t>
      </w:r>
      <w:r w:rsidRPr="000C36FF">
        <w:rPr>
          <w:rFonts w:ascii="Times New Roman" w:hAnsi="Times New Roman" w:cs="Times New Roman"/>
        </w:rPr>
        <w:t>Predsjednik Upravnog vijeća:</w:t>
      </w:r>
    </w:p>
    <w:p w:rsidR="002C2336" w:rsidRPr="000C36FF" w:rsidRDefault="002C2336" w:rsidP="002C2336">
      <w:pPr>
        <w:ind w:left="-426"/>
        <w:jc w:val="both"/>
        <w:rPr>
          <w:rFonts w:ascii="Times New Roman" w:hAnsi="Times New Roman" w:cs="Times New Roman"/>
        </w:rPr>
      </w:pPr>
      <w:r w:rsidRPr="000C36FF">
        <w:rPr>
          <w:rFonts w:ascii="Times New Roman" w:hAnsi="Times New Roman" w:cs="Times New Roman"/>
        </w:rPr>
        <w:t xml:space="preserve">                                                                                                                                             mr. </w:t>
      </w:r>
      <w:proofErr w:type="spellStart"/>
      <w:r w:rsidRPr="000C36FF">
        <w:rPr>
          <w:rFonts w:ascii="Times New Roman" w:hAnsi="Times New Roman" w:cs="Times New Roman"/>
        </w:rPr>
        <w:t>sc</w:t>
      </w:r>
      <w:proofErr w:type="spellEnd"/>
      <w:r w:rsidRPr="000C36FF">
        <w:rPr>
          <w:rFonts w:ascii="Times New Roman" w:hAnsi="Times New Roman" w:cs="Times New Roman"/>
        </w:rPr>
        <w:t xml:space="preserve">. Alen </w:t>
      </w:r>
      <w:proofErr w:type="spellStart"/>
      <w:r w:rsidRPr="000C36FF">
        <w:rPr>
          <w:rFonts w:ascii="Times New Roman" w:hAnsi="Times New Roman" w:cs="Times New Roman"/>
        </w:rPr>
        <w:t>Runac</w:t>
      </w:r>
      <w:proofErr w:type="spellEnd"/>
    </w:p>
    <w:sectPr w:rsidR="002C2336" w:rsidRPr="000C36FF" w:rsidSect="00C977FD">
      <w:footerReference w:type="default" r:id="rId9"/>
      <w:pgSz w:w="11906" w:h="16838"/>
      <w:pgMar w:top="1417" w:right="991"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82" w:rsidRDefault="00773782" w:rsidP="00C977FD">
      <w:pPr>
        <w:spacing w:after="0" w:line="240" w:lineRule="auto"/>
      </w:pPr>
      <w:r>
        <w:separator/>
      </w:r>
    </w:p>
  </w:endnote>
  <w:endnote w:type="continuationSeparator" w:id="0">
    <w:p w:rsidR="00773782" w:rsidRDefault="00773782" w:rsidP="00C9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25058"/>
      <w:docPartObj>
        <w:docPartGallery w:val="Page Numbers (Bottom of Page)"/>
        <w:docPartUnique/>
      </w:docPartObj>
    </w:sdtPr>
    <w:sdtContent>
      <w:p w:rsidR="00C977FD" w:rsidRDefault="00C977FD">
        <w:pPr>
          <w:pStyle w:val="Podnoje"/>
          <w:jc w:val="center"/>
        </w:pPr>
        <w:r>
          <w:fldChar w:fldCharType="begin"/>
        </w:r>
        <w:r>
          <w:instrText>PAGE   \* MERGEFORMAT</w:instrText>
        </w:r>
        <w:r>
          <w:fldChar w:fldCharType="separate"/>
        </w:r>
        <w:r w:rsidR="00E00305">
          <w:rPr>
            <w:noProof/>
          </w:rPr>
          <w:t>16</w:t>
        </w:r>
        <w:r>
          <w:fldChar w:fldCharType="end"/>
        </w:r>
      </w:p>
    </w:sdtContent>
  </w:sdt>
  <w:p w:rsidR="00C977FD" w:rsidRDefault="00C977F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82" w:rsidRDefault="00773782" w:rsidP="00C977FD">
      <w:pPr>
        <w:spacing w:after="0" w:line="240" w:lineRule="auto"/>
      </w:pPr>
      <w:r>
        <w:separator/>
      </w:r>
    </w:p>
  </w:footnote>
  <w:footnote w:type="continuationSeparator" w:id="0">
    <w:p w:rsidR="00773782" w:rsidRDefault="00773782" w:rsidP="00C97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63A3C"/>
    <w:multiLevelType w:val="hybridMultilevel"/>
    <w:tmpl w:val="CB5AFAE0"/>
    <w:lvl w:ilvl="0" w:tplc="A5BC9926">
      <w:start w:val="63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747D2C"/>
    <w:multiLevelType w:val="hybridMultilevel"/>
    <w:tmpl w:val="8898A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AC2914"/>
    <w:multiLevelType w:val="hybridMultilevel"/>
    <w:tmpl w:val="C406BDE6"/>
    <w:lvl w:ilvl="0" w:tplc="F16C4266">
      <w:start w:val="63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6276B78"/>
    <w:multiLevelType w:val="hybridMultilevel"/>
    <w:tmpl w:val="79F8B72C"/>
    <w:lvl w:ilvl="0" w:tplc="3B5A54D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8FB4B5B"/>
    <w:multiLevelType w:val="hybridMultilevel"/>
    <w:tmpl w:val="1AB018E0"/>
    <w:lvl w:ilvl="0" w:tplc="D63EC042">
      <w:start w:val="636"/>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E2485B"/>
    <w:multiLevelType w:val="hybridMultilevel"/>
    <w:tmpl w:val="0804C6C0"/>
    <w:lvl w:ilvl="0" w:tplc="390E4AD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6156266"/>
    <w:multiLevelType w:val="hybridMultilevel"/>
    <w:tmpl w:val="A7DC557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7A"/>
    <w:rsid w:val="000319CC"/>
    <w:rsid w:val="000C36FF"/>
    <w:rsid w:val="001B5F93"/>
    <w:rsid w:val="001B6653"/>
    <w:rsid w:val="001C490B"/>
    <w:rsid w:val="002C2336"/>
    <w:rsid w:val="00326A0F"/>
    <w:rsid w:val="00376C13"/>
    <w:rsid w:val="003B0FC5"/>
    <w:rsid w:val="00472363"/>
    <w:rsid w:val="004C0B38"/>
    <w:rsid w:val="004F345A"/>
    <w:rsid w:val="0062667A"/>
    <w:rsid w:val="00773782"/>
    <w:rsid w:val="0080796F"/>
    <w:rsid w:val="00851DF2"/>
    <w:rsid w:val="009023EA"/>
    <w:rsid w:val="009025B0"/>
    <w:rsid w:val="0093135F"/>
    <w:rsid w:val="00992A2B"/>
    <w:rsid w:val="00B52941"/>
    <w:rsid w:val="00B7649B"/>
    <w:rsid w:val="00C16EDA"/>
    <w:rsid w:val="00C977FD"/>
    <w:rsid w:val="00D013E0"/>
    <w:rsid w:val="00E00305"/>
    <w:rsid w:val="00E03995"/>
    <w:rsid w:val="00ED6C54"/>
    <w:rsid w:val="00F1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092E9-E1D5-4459-AE86-B3CA3AA9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266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B0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2667A"/>
    <w:rPr>
      <w:rFonts w:asciiTheme="majorHAnsi" w:eastAsiaTheme="majorEastAsia" w:hAnsiTheme="majorHAnsi" w:cstheme="majorBidi"/>
      <w:color w:val="2E74B5" w:themeColor="accent1" w:themeShade="BF"/>
      <w:sz w:val="32"/>
      <w:szCs w:val="32"/>
    </w:rPr>
  </w:style>
  <w:style w:type="character" w:styleId="Hiperveza">
    <w:name w:val="Hyperlink"/>
    <w:basedOn w:val="Zadanifontodlomka"/>
    <w:uiPriority w:val="99"/>
    <w:unhideWhenUsed/>
    <w:rsid w:val="0062667A"/>
    <w:rPr>
      <w:color w:val="0000FF"/>
      <w:u w:val="single"/>
    </w:rPr>
  </w:style>
  <w:style w:type="character" w:styleId="SlijeenaHiperveza">
    <w:name w:val="FollowedHyperlink"/>
    <w:basedOn w:val="Zadanifontodlomka"/>
    <w:uiPriority w:val="99"/>
    <w:semiHidden/>
    <w:unhideWhenUsed/>
    <w:rsid w:val="0062667A"/>
    <w:rPr>
      <w:color w:val="800080"/>
      <w:u w:val="single"/>
    </w:rPr>
  </w:style>
  <w:style w:type="paragraph" w:customStyle="1" w:styleId="xl68">
    <w:name w:val="xl68"/>
    <w:basedOn w:val="Normal"/>
    <w:rsid w:val="0062667A"/>
    <w:pPr>
      <w:spacing w:before="100" w:beforeAutospacing="1" w:after="100" w:afterAutospacing="1" w:line="240" w:lineRule="auto"/>
      <w:ind w:firstLineChars="100" w:firstLine="100"/>
    </w:pPr>
    <w:rPr>
      <w:rFonts w:ascii="Times New Roman" w:eastAsia="Times New Roman" w:hAnsi="Times New Roman" w:cs="Times New Roman"/>
      <w:sz w:val="20"/>
      <w:szCs w:val="20"/>
      <w:lang w:eastAsia="hr-HR"/>
    </w:rPr>
  </w:style>
  <w:style w:type="paragraph" w:customStyle="1" w:styleId="xl69">
    <w:name w:val="xl69"/>
    <w:basedOn w:val="Normal"/>
    <w:rsid w:val="0062667A"/>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hr-HR"/>
    </w:rPr>
  </w:style>
  <w:style w:type="paragraph" w:customStyle="1" w:styleId="xl70">
    <w:name w:val="xl70"/>
    <w:basedOn w:val="Normal"/>
    <w:rsid w:val="0062667A"/>
    <w:pPr>
      <w:spacing w:before="100" w:beforeAutospacing="1" w:after="100" w:afterAutospacing="1" w:line="240" w:lineRule="auto"/>
      <w:ind w:firstLineChars="100" w:firstLine="100"/>
    </w:pPr>
    <w:rPr>
      <w:rFonts w:ascii="Times New Roman" w:eastAsia="Times New Roman" w:hAnsi="Times New Roman" w:cs="Times New Roman"/>
      <w:sz w:val="16"/>
      <w:szCs w:val="16"/>
      <w:lang w:eastAsia="hr-HR"/>
    </w:rPr>
  </w:style>
  <w:style w:type="paragraph" w:customStyle="1" w:styleId="xl71">
    <w:name w:val="xl71"/>
    <w:basedOn w:val="Normal"/>
    <w:rsid w:val="0062667A"/>
    <w:pP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hr-HR"/>
    </w:rPr>
  </w:style>
  <w:style w:type="paragraph" w:customStyle="1" w:styleId="xl72">
    <w:name w:val="xl72"/>
    <w:basedOn w:val="Normal"/>
    <w:rsid w:val="0062667A"/>
    <w:pPr>
      <w:shd w:val="clear" w:color="000000" w:fill="1F497D"/>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lang w:eastAsia="hr-HR"/>
    </w:rPr>
  </w:style>
  <w:style w:type="paragraph" w:customStyle="1" w:styleId="xl73">
    <w:name w:val="xl73"/>
    <w:basedOn w:val="Normal"/>
    <w:rsid w:val="0062667A"/>
    <w:pP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hr-HR"/>
    </w:rPr>
  </w:style>
  <w:style w:type="paragraph" w:customStyle="1" w:styleId="xl74">
    <w:name w:val="xl74"/>
    <w:basedOn w:val="Normal"/>
    <w:rsid w:val="0062667A"/>
    <w:pPr>
      <w:spacing w:before="100" w:beforeAutospacing="1" w:after="100" w:afterAutospacing="1" w:line="240" w:lineRule="auto"/>
      <w:ind w:firstLineChars="100" w:firstLine="100"/>
      <w:jc w:val="right"/>
    </w:pPr>
    <w:rPr>
      <w:rFonts w:ascii="Times New Roman" w:eastAsia="Times New Roman" w:hAnsi="Times New Roman" w:cs="Times New Roman"/>
      <w:sz w:val="20"/>
      <w:szCs w:val="20"/>
      <w:lang w:eastAsia="hr-HR"/>
    </w:rPr>
  </w:style>
  <w:style w:type="paragraph" w:customStyle="1" w:styleId="xl75">
    <w:name w:val="xl75"/>
    <w:basedOn w:val="Normal"/>
    <w:rsid w:val="0062667A"/>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76">
    <w:name w:val="xl76"/>
    <w:basedOn w:val="Normal"/>
    <w:rsid w:val="006266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7">
    <w:name w:val="xl77"/>
    <w:basedOn w:val="Normal"/>
    <w:rsid w:val="006266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8">
    <w:name w:val="xl78"/>
    <w:basedOn w:val="Normal"/>
    <w:rsid w:val="0062667A"/>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79">
    <w:name w:val="xl79"/>
    <w:basedOn w:val="Normal"/>
    <w:rsid w:val="0062667A"/>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0">
    <w:name w:val="xl80"/>
    <w:basedOn w:val="Normal"/>
    <w:rsid w:val="0062667A"/>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81">
    <w:name w:val="xl81"/>
    <w:basedOn w:val="Normal"/>
    <w:rsid w:val="0062667A"/>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lang w:eastAsia="hr-HR"/>
    </w:rPr>
  </w:style>
  <w:style w:type="paragraph" w:customStyle="1" w:styleId="xl82">
    <w:name w:val="xl82"/>
    <w:basedOn w:val="Normal"/>
    <w:rsid w:val="0062667A"/>
    <w:pP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3">
    <w:name w:val="xl83"/>
    <w:basedOn w:val="Normal"/>
    <w:rsid w:val="00626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hr-HR"/>
    </w:rPr>
  </w:style>
  <w:style w:type="paragraph" w:customStyle="1" w:styleId="xl84">
    <w:name w:val="xl84"/>
    <w:basedOn w:val="Normal"/>
    <w:rsid w:val="0062667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hr-HR"/>
    </w:rPr>
  </w:style>
  <w:style w:type="paragraph" w:customStyle="1" w:styleId="xl85">
    <w:name w:val="xl85"/>
    <w:basedOn w:val="Normal"/>
    <w:rsid w:val="00626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62667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62667A"/>
    <w:pPr>
      <w:pBdr>
        <w:top w:val="single" w:sz="4" w:space="0" w:color="auto"/>
        <w:bottom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8">
    <w:name w:val="xl88"/>
    <w:basedOn w:val="Normal"/>
    <w:rsid w:val="0062667A"/>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89">
    <w:name w:val="xl89"/>
    <w:basedOn w:val="Normal"/>
    <w:rsid w:val="0062667A"/>
    <w:pPr>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90">
    <w:name w:val="xl90"/>
    <w:basedOn w:val="Normal"/>
    <w:rsid w:val="0062667A"/>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62667A"/>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2">
    <w:name w:val="xl92"/>
    <w:basedOn w:val="Normal"/>
    <w:rsid w:val="0062667A"/>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3">
    <w:name w:val="xl93"/>
    <w:basedOn w:val="Normal"/>
    <w:rsid w:val="0062667A"/>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94">
    <w:name w:val="xl94"/>
    <w:basedOn w:val="Normal"/>
    <w:rsid w:val="0062667A"/>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62667A"/>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6">
    <w:name w:val="xl96"/>
    <w:basedOn w:val="Normal"/>
    <w:rsid w:val="0062667A"/>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7">
    <w:name w:val="xl97"/>
    <w:basedOn w:val="Normal"/>
    <w:rsid w:val="0062667A"/>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8">
    <w:name w:val="xl98"/>
    <w:basedOn w:val="Normal"/>
    <w:rsid w:val="0062667A"/>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9">
    <w:name w:val="xl99"/>
    <w:basedOn w:val="Normal"/>
    <w:rsid w:val="0062667A"/>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100">
    <w:name w:val="xl100"/>
    <w:basedOn w:val="Normal"/>
    <w:rsid w:val="0062667A"/>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1">
    <w:name w:val="xl101"/>
    <w:basedOn w:val="Normal"/>
    <w:rsid w:val="0062667A"/>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2">
    <w:name w:val="xl102"/>
    <w:basedOn w:val="Normal"/>
    <w:rsid w:val="0062667A"/>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customStyle="1" w:styleId="xl103">
    <w:name w:val="xl103"/>
    <w:basedOn w:val="Normal"/>
    <w:rsid w:val="0062667A"/>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6266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2667A"/>
  </w:style>
  <w:style w:type="paragraph" w:styleId="Podnoje">
    <w:name w:val="footer"/>
    <w:basedOn w:val="Normal"/>
    <w:link w:val="PodnojeChar"/>
    <w:uiPriority w:val="99"/>
    <w:unhideWhenUsed/>
    <w:rsid w:val="006266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667A"/>
  </w:style>
  <w:style w:type="numbering" w:customStyle="1" w:styleId="Bezpopisa1">
    <w:name w:val="Bez popisa1"/>
    <w:next w:val="Bezpopisa"/>
    <w:uiPriority w:val="99"/>
    <w:semiHidden/>
    <w:unhideWhenUsed/>
    <w:rsid w:val="0062667A"/>
  </w:style>
  <w:style w:type="paragraph" w:customStyle="1" w:styleId="xl104">
    <w:name w:val="xl104"/>
    <w:basedOn w:val="Normal"/>
    <w:rsid w:val="0062667A"/>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customStyle="1" w:styleId="xl105">
    <w:name w:val="xl105"/>
    <w:basedOn w:val="Normal"/>
    <w:rsid w:val="0062667A"/>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3">
    <w:name w:val="xl63"/>
    <w:basedOn w:val="Normal"/>
    <w:rsid w:val="0062667A"/>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4">
    <w:name w:val="xl64"/>
    <w:basedOn w:val="Normal"/>
    <w:rsid w:val="0062667A"/>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5">
    <w:name w:val="xl65"/>
    <w:basedOn w:val="Normal"/>
    <w:rsid w:val="006266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lang w:eastAsia="hr-HR"/>
    </w:rPr>
  </w:style>
  <w:style w:type="paragraph" w:customStyle="1" w:styleId="xl66">
    <w:name w:val="xl66"/>
    <w:basedOn w:val="Normal"/>
    <w:rsid w:val="0062667A"/>
    <w:pPr>
      <w:shd w:val="clear" w:color="000000" w:fill="0000FF"/>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customStyle="1" w:styleId="xl67">
    <w:name w:val="xl67"/>
    <w:basedOn w:val="Normal"/>
    <w:rsid w:val="0062667A"/>
    <w:pPr>
      <w:pBdr>
        <w:top w:val="single" w:sz="4" w:space="0" w:color="000000"/>
        <w:bottom w:val="single" w:sz="4" w:space="0" w:color="000000"/>
        <w:right w:val="single" w:sz="4" w:space="0" w:color="000000"/>
      </w:pBdr>
      <w:shd w:val="clear" w:color="000000" w:fill="0000FF"/>
      <w:spacing w:before="100" w:beforeAutospacing="1" w:after="100" w:afterAutospacing="1" w:line="240" w:lineRule="auto"/>
      <w:ind w:firstLineChars="100" w:firstLine="100"/>
    </w:pPr>
    <w:rPr>
      <w:rFonts w:ascii="Arial" w:eastAsia="Times New Roman" w:hAnsi="Arial" w:cs="Arial"/>
      <w:b/>
      <w:bCs/>
      <w:color w:val="FFFFFF"/>
      <w:sz w:val="20"/>
      <w:szCs w:val="20"/>
      <w:lang w:eastAsia="hr-HR"/>
    </w:rPr>
  </w:style>
  <w:style w:type="paragraph" w:styleId="Odlomakpopisa">
    <w:name w:val="List Paragraph"/>
    <w:basedOn w:val="Normal"/>
    <w:uiPriority w:val="34"/>
    <w:qFormat/>
    <w:rsid w:val="0062667A"/>
    <w:pPr>
      <w:ind w:left="720"/>
      <w:contextualSpacing/>
    </w:pPr>
  </w:style>
  <w:style w:type="table" w:styleId="Reetkatablice">
    <w:name w:val="Table Grid"/>
    <w:basedOn w:val="Obinatablica"/>
    <w:uiPriority w:val="39"/>
    <w:rsid w:val="0062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266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667A"/>
    <w:rPr>
      <w:rFonts w:ascii="Segoe UI" w:hAnsi="Segoe UI" w:cs="Segoe UI"/>
      <w:sz w:val="18"/>
      <w:szCs w:val="18"/>
    </w:rPr>
  </w:style>
  <w:style w:type="table" w:customStyle="1" w:styleId="Reetkatablice1">
    <w:name w:val="Rešetka tablice1"/>
    <w:basedOn w:val="Obinatablica"/>
    <w:next w:val="Reetkatablice"/>
    <w:uiPriority w:val="59"/>
    <w:rsid w:val="00B764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Char">
    <w:name w:val="Naslov 2 Char"/>
    <w:basedOn w:val="Zadanifontodlomka"/>
    <w:link w:val="Naslov2"/>
    <w:uiPriority w:val="9"/>
    <w:rsid w:val="003B0F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r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4B5D-97F9-4494-9B2E-704762FD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17</Pages>
  <Words>6067</Words>
  <Characters>34582</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Spomenka Sakač</dc:creator>
  <cp:keywords/>
  <dc:description/>
  <cp:lastModifiedBy>Spomenka Sakač</cp:lastModifiedBy>
  <cp:revision>10</cp:revision>
  <cp:lastPrinted>2023-07-26T05:21:00Z</cp:lastPrinted>
  <dcterms:created xsi:type="dcterms:W3CDTF">2023-07-26T04:24:00Z</dcterms:created>
  <dcterms:modified xsi:type="dcterms:W3CDTF">2023-07-26T10:07:00Z</dcterms:modified>
</cp:coreProperties>
</file>