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Layout w:type="fixed"/>
        <w:tblLook w:val="04A0" w:firstRow="1" w:lastRow="0" w:firstColumn="1" w:lastColumn="0" w:noHBand="0" w:noVBand="1"/>
      </w:tblPr>
      <w:tblGrid>
        <w:gridCol w:w="2093"/>
        <w:gridCol w:w="3544"/>
        <w:gridCol w:w="2409"/>
        <w:gridCol w:w="1559"/>
      </w:tblGrid>
      <w:tr w:rsidR="007144A5" w:rsidTr="00951A3C">
        <w:tc>
          <w:tcPr>
            <w:tcW w:w="2093" w:type="dxa"/>
            <w:vAlign w:val="center"/>
          </w:tcPr>
          <w:p w:rsidR="007144A5" w:rsidRPr="00495CA6" w:rsidRDefault="007144A5" w:rsidP="00495CA6">
            <w:pPr>
              <w:tabs>
                <w:tab w:val="left" w:pos="5529"/>
                <w:tab w:val="left" w:pos="5954"/>
                <w:tab w:val="left" w:pos="9639"/>
              </w:tabs>
              <w:contextualSpacing/>
              <w:rPr>
                <w:b/>
              </w:rPr>
            </w:pPr>
            <w:r w:rsidRPr="00495CA6">
              <w:rPr>
                <w:b/>
              </w:rPr>
              <w:t>Naziv obveznika:</w:t>
            </w:r>
          </w:p>
        </w:tc>
        <w:tc>
          <w:tcPr>
            <w:tcW w:w="3544" w:type="dxa"/>
            <w:vAlign w:val="center"/>
          </w:tcPr>
          <w:p w:rsidR="007144A5" w:rsidRDefault="007144A5" w:rsidP="00495CA6">
            <w:pPr>
              <w:tabs>
                <w:tab w:val="left" w:pos="5529"/>
                <w:tab w:val="left" w:pos="5954"/>
                <w:tab w:val="left" w:pos="9639"/>
              </w:tabs>
              <w:contextualSpacing/>
              <w:rPr>
                <w:sz w:val="24"/>
                <w:szCs w:val="24"/>
              </w:rPr>
            </w:pPr>
            <w:r>
              <w:rPr>
                <w:sz w:val="24"/>
                <w:szCs w:val="24"/>
              </w:rPr>
              <w:t>Specijalna bolnica za medicinsku rehabilitaciju Varaždinske Toplice</w:t>
            </w:r>
          </w:p>
        </w:tc>
        <w:tc>
          <w:tcPr>
            <w:tcW w:w="2409" w:type="dxa"/>
            <w:vAlign w:val="center"/>
          </w:tcPr>
          <w:p w:rsidR="007144A5" w:rsidRPr="00495CA6" w:rsidRDefault="007144A5" w:rsidP="00495CA6">
            <w:pPr>
              <w:tabs>
                <w:tab w:val="left" w:pos="5529"/>
                <w:tab w:val="left" w:pos="5954"/>
                <w:tab w:val="left" w:pos="9639"/>
              </w:tabs>
              <w:contextualSpacing/>
              <w:rPr>
                <w:b/>
              </w:rPr>
            </w:pPr>
            <w:r w:rsidRPr="00495CA6">
              <w:rPr>
                <w:b/>
              </w:rPr>
              <w:t>Broj RKP-a:</w:t>
            </w:r>
          </w:p>
        </w:tc>
        <w:tc>
          <w:tcPr>
            <w:tcW w:w="1559" w:type="dxa"/>
            <w:vAlign w:val="center"/>
          </w:tcPr>
          <w:p w:rsidR="007144A5" w:rsidRDefault="007144A5" w:rsidP="00495CA6">
            <w:pPr>
              <w:tabs>
                <w:tab w:val="left" w:pos="5529"/>
                <w:tab w:val="left" w:pos="5954"/>
                <w:tab w:val="left" w:pos="9639"/>
              </w:tabs>
              <w:contextualSpacing/>
              <w:jc w:val="center"/>
              <w:rPr>
                <w:sz w:val="24"/>
                <w:szCs w:val="24"/>
              </w:rPr>
            </w:pPr>
            <w:r>
              <w:rPr>
                <w:sz w:val="24"/>
                <w:szCs w:val="24"/>
              </w:rPr>
              <w:t>40746</w:t>
            </w:r>
          </w:p>
        </w:tc>
      </w:tr>
      <w:tr w:rsidR="007144A5" w:rsidTr="00951A3C">
        <w:tc>
          <w:tcPr>
            <w:tcW w:w="2093" w:type="dxa"/>
            <w:vAlign w:val="center"/>
          </w:tcPr>
          <w:p w:rsidR="007144A5" w:rsidRPr="00495CA6" w:rsidRDefault="007144A5" w:rsidP="00495CA6">
            <w:pPr>
              <w:tabs>
                <w:tab w:val="left" w:pos="5529"/>
                <w:tab w:val="left" w:pos="5954"/>
                <w:tab w:val="left" w:pos="9639"/>
              </w:tabs>
              <w:contextualSpacing/>
              <w:rPr>
                <w:b/>
              </w:rPr>
            </w:pPr>
            <w:r w:rsidRPr="00495CA6">
              <w:rPr>
                <w:b/>
              </w:rPr>
              <w:t>Sjedište obveznika:</w:t>
            </w:r>
          </w:p>
        </w:tc>
        <w:tc>
          <w:tcPr>
            <w:tcW w:w="3544" w:type="dxa"/>
            <w:vAlign w:val="center"/>
          </w:tcPr>
          <w:p w:rsidR="007144A5" w:rsidRDefault="00495CA6" w:rsidP="00495CA6">
            <w:pPr>
              <w:tabs>
                <w:tab w:val="left" w:pos="5529"/>
                <w:tab w:val="left" w:pos="5954"/>
                <w:tab w:val="left" w:pos="9639"/>
              </w:tabs>
              <w:contextualSpacing/>
              <w:rPr>
                <w:sz w:val="24"/>
                <w:szCs w:val="24"/>
              </w:rPr>
            </w:pPr>
            <w:r>
              <w:rPr>
                <w:sz w:val="24"/>
                <w:szCs w:val="24"/>
              </w:rPr>
              <w:t>Varaždinske Toplice</w:t>
            </w:r>
          </w:p>
        </w:tc>
        <w:tc>
          <w:tcPr>
            <w:tcW w:w="2409" w:type="dxa"/>
            <w:vAlign w:val="center"/>
          </w:tcPr>
          <w:p w:rsidR="007144A5" w:rsidRPr="00495CA6" w:rsidRDefault="007144A5" w:rsidP="00495CA6">
            <w:pPr>
              <w:tabs>
                <w:tab w:val="left" w:pos="5529"/>
                <w:tab w:val="left" w:pos="5954"/>
                <w:tab w:val="left" w:pos="9639"/>
              </w:tabs>
              <w:contextualSpacing/>
              <w:rPr>
                <w:b/>
              </w:rPr>
            </w:pPr>
            <w:r w:rsidRPr="00495CA6">
              <w:rPr>
                <w:b/>
              </w:rPr>
              <w:t>Matični broj:</w:t>
            </w:r>
          </w:p>
        </w:tc>
        <w:tc>
          <w:tcPr>
            <w:tcW w:w="1559" w:type="dxa"/>
            <w:vAlign w:val="center"/>
          </w:tcPr>
          <w:p w:rsidR="007144A5" w:rsidRDefault="007144A5" w:rsidP="00495CA6">
            <w:pPr>
              <w:tabs>
                <w:tab w:val="left" w:pos="5529"/>
                <w:tab w:val="left" w:pos="5954"/>
                <w:tab w:val="left" w:pos="9639"/>
              </w:tabs>
              <w:contextualSpacing/>
              <w:jc w:val="center"/>
              <w:rPr>
                <w:sz w:val="24"/>
                <w:szCs w:val="24"/>
              </w:rPr>
            </w:pPr>
            <w:r>
              <w:rPr>
                <w:sz w:val="24"/>
                <w:szCs w:val="24"/>
              </w:rPr>
              <w:t>03325334</w:t>
            </w:r>
          </w:p>
        </w:tc>
      </w:tr>
      <w:tr w:rsidR="007144A5" w:rsidTr="00951A3C">
        <w:tc>
          <w:tcPr>
            <w:tcW w:w="2093" w:type="dxa"/>
            <w:vAlign w:val="center"/>
          </w:tcPr>
          <w:p w:rsidR="007144A5" w:rsidRPr="00495CA6" w:rsidRDefault="007144A5" w:rsidP="00495CA6">
            <w:pPr>
              <w:tabs>
                <w:tab w:val="left" w:pos="5529"/>
                <w:tab w:val="left" w:pos="5954"/>
                <w:tab w:val="left" w:pos="9639"/>
              </w:tabs>
              <w:contextualSpacing/>
              <w:rPr>
                <w:b/>
              </w:rPr>
            </w:pPr>
            <w:r w:rsidRPr="00495CA6">
              <w:rPr>
                <w:b/>
              </w:rPr>
              <w:t>Adresa sjedišta obveznika:</w:t>
            </w:r>
          </w:p>
        </w:tc>
        <w:tc>
          <w:tcPr>
            <w:tcW w:w="3544" w:type="dxa"/>
            <w:vAlign w:val="center"/>
          </w:tcPr>
          <w:p w:rsidR="007144A5" w:rsidRDefault="00495CA6" w:rsidP="003A6890">
            <w:pPr>
              <w:tabs>
                <w:tab w:val="left" w:pos="5529"/>
                <w:tab w:val="left" w:pos="5954"/>
                <w:tab w:val="left" w:pos="9639"/>
              </w:tabs>
              <w:contextualSpacing/>
              <w:rPr>
                <w:sz w:val="24"/>
                <w:szCs w:val="24"/>
              </w:rPr>
            </w:pPr>
            <w:r>
              <w:rPr>
                <w:sz w:val="24"/>
                <w:szCs w:val="24"/>
              </w:rPr>
              <w:t xml:space="preserve">Trg </w:t>
            </w:r>
            <w:r w:rsidR="003A6890">
              <w:rPr>
                <w:sz w:val="24"/>
                <w:szCs w:val="24"/>
              </w:rPr>
              <w:t>svetog Martina 1</w:t>
            </w:r>
          </w:p>
        </w:tc>
        <w:tc>
          <w:tcPr>
            <w:tcW w:w="2409" w:type="dxa"/>
            <w:vAlign w:val="center"/>
          </w:tcPr>
          <w:p w:rsidR="007144A5" w:rsidRPr="00495CA6" w:rsidRDefault="007144A5" w:rsidP="00495CA6">
            <w:pPr>
              <w:tabs>
                <w:tab w:val="left" w:pos="5529"/>
                <w:tab w:val="left" w:pos="5954"/>
                <w:tab w:val="left" w:pos="9639"/>
              </w:tabs>
              <w:contextualSpacing/>
              <w:rPr>
                <w:b/>
              </w:rPr>
            </w:pPr>
            <w:r w:rsidRPr="00495CA6">
              <w:rPr>
                <w:b/>
              </w:rPr>
              <w:t>OIB:</w:t>
            </w:r>
          </w:p>
        </w:tc>
        <w:tc>
          <w:tcPr>
            <w:tcW w:w="1559" w:type="dxa"/>
            <w:vAlign w:val="center"/>
          </w:tcPr>
          <w:p w:rsidR="007144A5" w:rsidRDefault="007144A5" w:rsidP="00495CA6">
            <w:pPr>
              <w:tabs>
                <w:tab w:val="left" w:pos="5529"/>
                <w:tab w:val="left" w:pos="5954"/>
                <w:tab w:val="left" w:pos="9639"/>
              </w:tabs>
              <w:contextualSpacing/>
              <w:jc w:val="center"/>
              <w:rPr>
                <w:sz w:val="24"/>
                <w:szCs w:val="24"/>
              </w:rPr>
            </w:pPr>
            <w:r>
              <w:rPr>
                <w:sz w:val="24"/>
                <w:szCs w:val="24"/>
              </w:rPr>
              <w:t>68425903637</w:t>
            </w:r>
          </w:p>
        </w:tc>
      </w:tr>
      <w:tr w:rsidR="007144A5" w:rsidTr="00951A3C">
        <w:tc>
          <w:tcPr>
            <w:tcW w:w="2093" w:type="dxa"/>
            <w:vAlign w:val="center"/>
          </w:tcPr>
          <w:p w:rsidR="007144A5" w:rsidRPr="00495CA6" w:rsidRDefault="007144A5" w:rsidP="00495CA6">
            <w:pPr>
              <w:tabs>
                <w:tab w:val="left" w:pos="5529"/>
                <w:tab w:val="left" w:pos="5954"/>
                <w:tab w:val="left" w:pos="9639"/>
              </w:tabs>
              <w:contextualSpacing/>
              <w:rPr>
                <w:b/>
              </w:rPr>
            </w:pPr>
            <w:r w:rsidRPr="00495CA6">
              <w:rPr>
                <w:b/>
              </w:rPr>
              <w:t>Razina:</w:t>
            </w:r>
          </w:p>
        </w:tc>
        <w:tc>
          <w:tcPr>
            <w:tcW w:w="3544" w:type="dxa"/>
            <w:vAlign w:val="center"/>
          </w:tcPr>
          <w:p w:rsidR="007144A5" w:rsidRDefault="00495CA6" w:rsidP="00495CA6">
            <w:pPr>
              <w:tabs>
                <w:tab w:val="left" w:pos="5529"/>
                <w:tab w:val="left" w:pos="5954"/>
                <w:tab w:val="left" w:pos="9639"/>
              </w:tabs>
              <w:contextualSpacing/>
              <w:rPr>
                <w:sz w:val="24"/>
                <w:szCs w:val="24"/>
              </w:rPr>
            </w:pPr>
            <w:r>
              <w:rPr>
                <w:sz w:val="24"/>
                <w:szCs w:val="24"/>
              </w:rPr>
              <w:t>31</w:t>
            </w:r>
          </w:p>
        </w:tc>
        <w:tc>
          <w:tcPr>
            <w:tcW w:w="2409" w:type="dxa"/>
            <w:vAlign w:val="center"/>
          </w:tcPr>
          <w:p w:rsidR="007144A5" w:rsidRPr="00495CA6" w:rsidRDefault="007144A5" w:rsidP="00495CA6">
            <w:pPr>
              <w:tabs>
                <w:tab w:val="left" w:pos="5529"/>
                <w:tab w:val="left" w:pos="5954"/>
                <w:tab w:val="left" w:pos="9639"/>
              </w:tabs>
              <w:contextualSpacing/>
              <w:rPr>
                <w:b/>
              </w:rPr>
            </w:pPr>
            <w:r w:rsidRPr="00495CA6">
              <w:rPr>
                <w:b/>
              </w:rPr>
              <w:t>Šifra djelatnosti prema NKD-u:</w:t>
            </w:r>
          </w:p>
        </w:tc>
        <w:tc>
          <w:tcPr>
            <w:tcW w:w="1559" w:type="dxa"/>
            <w:vAlign w:val="center"/>
          </w:tcPr>
          <w:p w:rsidR="007144A5" w:rsidRDefault="007144A5" w:rsidP="00495CA6">
            <w:pPr>
              <w:tabs>
                <w:tab w:val="left" w:pos="5529"/>
                <w:tab w:val="left" w:pos="5954"/>
                <w:tab w:val="left" w:pos="9639"/>
              </w:tabs>
              <w:contextualSpacing/>
              <w:jc w:val="center"/>
              <w:rPr>
                <w:sz w:val="24"/>
                <w:szCs w:val="24"/>
              </w:rPr>
            </w:pPr>
            <w:r>
              <w:rPr>
                <w:sz w:val="24"/>
                <w:szCs w:val="24"/>
              </w:rPr>
              <w:t>8</w:t>
            </w:r>
            <w:r w:rsidR="00495CA6">
              <w:rPr>
                <w:sz w:val="24"/>
                <w:szCs w:val="24"/>
              </w:rPr>
              <w:t>610</w:t>
            </w:r>
          </w:p>
        </w:tc>
      </w:tr>
    </w:tbl>
    <w:p w:rsidR="007144A5" w:rsidRDefault="007144A5" w:rsidP="00613C9E">
      <w:pPr>
        <w:tabs>
          <w:tab w:val="left" w:pos="5529"/>
          <w:tab w:val="left" w:pos="5954"/>
          <w:tab w:val="left" w:pos="9639"/>
        </w:tabs>
        <w:contextualSpacing/>
        <w:rPr>
          <w:sz w:val="24"/>
          <w:szCs w:val="24"/>
        </w:rPr>
      </w:pPr>
    </w:p>
    <w:p w:rsidR="00613C9E" w:rsidRPr="001A3235" w:rsidRDefault="00613C9E" w:rsidP="00F010BF">
      <w:pPr>
        <w:contextualSpacing/>
        <w:rPr>
          <w:sz w:val="24"/>
          <w:szCs w:val="24"/>
        </w:rPr>
      </w:pPr>
    </w:p>
    <w:p w:rsidR="003741E4" w:rsidRPr="001A3235" w:rsidRDefault="003741E4" w:rsidP="003741E4">
      <w:pPr>
        <w:contextualSpacing/>
        <w:jc w:val="center"/>
        <w:rPr>
          <w:b/>
          <w:sz w:val="24"/>
          <w:szCs w:val="24"/>
        </w:rPr>
      </w:pPr>
      <w:r w:rsidRPr="001A3235">
        <w:rPr>
          <w:b/>
          <w:sz w:val="24"/>
          <w:szCs w:val="24"/>
        </w:rPr>
        <w:t>BILJEŠKE</w:t>
      </w:r>
      <w:r w:rsidR="00495CA6">
        <w:rPr>
          <w:b/>
          <w:sz w:val="24"/>
          <w:szCs w:val="24"/>
        </w:rPr>
        <w:t xml:space="preserve"> UZ FINANCIJSKE IZVJEŠTAJE </w:t>
      </w:r>
      <w:bookmarkStart w:id="0" w:name="_GoBack"/>
      <w:bookmarkEnd w:id="0"/>
    </w:p>
    <w:p w:rsidR="00750CEE" w:rsidRDefault="00495CA6" w:rsidP="00A31E9C">
      <w:pPr>
        <w:contextualSpacing/>
        <w:jc w:val="center"/>
        <w:rPr>
          <w:sz w:val="24"/>
          <w:szCs w:val="24"/>
        </w:rPr>
      </w:pPr>
      <w:r>
        <w:rPr>
          <w:sz w:val="24"/>
          <w:szCs w:val="24"/>
        </w:rPr>
        <w:t>z</w:t>
      </w:r>
      <w:r w:rsidR="003741E4" w:rsidRPr="001A3235">
        <w:rPr>
          <w:sz w:val="24"/>
          <w:szCs w:val="24"/>
        </w:rPr>
        <w:t xml:space="preserve">a razdoblje od 01. siječnja do </w:t>
      </w:r>
      <w:r w:rsidR="00175D32">
        <w:rPr>
          <w:sz w:val="24"/>
          <w:szCs w:val="24"/>
        </w:rPr>
        <w:t>3</w:t>
      </w:r>
      <w:r w:rsidR="00FD3B51">
        <w:rPr>
          <w:sz w:val="24"/>
          <w:szCs w:val="24"/>
        </w:rPr>
        <w:t>1</w:t>
      </w:r>
      <w:r w:rsidR="003741E4">
        <w:rPr>
          <w:sz w:val="24"/>
          <w:szCs w:val="24"/>
        </w:rPr>
        <w:t xml:space="preserve">. </w:t>
      </w:r>
      <w:r w:rsidR="00FD3B51">
        <w:rPr>
          <w:sz w:val="24"/>
          <w:szCs w:val="24"/>
        </w:rPr>
        <w:t>prosinca</w:t>
      </w:r>
      <w:r w:rsidR="00877A94">
        <w:rPr>
          <w:sz w:val="24"/>
          <w:szCs w:val="24"/>
        </w:rPr>
        <w:t xml:space="preserve"> </w:t>
      </w:r>
      <w:r w:rsidR="0083570E">
        <w:rPr>
          <w:sz w:val="24"/>
          <w:szCs w:val="24"/>
        </w:rPr>
        <w:t>2020</w:t>
      </w:r>
      <w:r w:rsidR="00877A94">
        <w:rPr>
          <w:sz w:val="24"/>
          <w:szCs w:val="24"/>
        </w:rPr>
        <w:t>.</w:t>
      </w:r>
      <w:r w:rsidR="003741E4" w:rsidRPr="001A3235">
        <w:rPr>
          <w:sz w:val="24"/>
          <w:szCs w:val="24"/>
        </w:rPr>
        <w:t xml:space="preserve"> </w:t>
      </w:r>
      <w:r w:rsidR="00F010BF">
        <w:rPr>
          <w:sz w:val="24"/>
          <w:szCs w:val="24"/>
        </w:rPr>
        <w:t>g</w:t>
      </w:r>
      <w:r w:rsidR="00A31E9C">
        <w:rPr>
          <w:sz w:val="24"/>
          <w:szCs w:val="24"/>
        </w:rPr>
        <w:t>odine</w:t>
      </w:r>
    </w:p>
    <w:p w:rsidR="00750CEE" w:rsidRPr="001962D4" w:rsidRDefault="00A31E9C" w:rsidP="001962D4">
      <w:pPr>
        <w:pStyle w:val="Naslov2"/>
        <w:rPr>
          <w:b/>
          <w:sz w:val="24"/>
          <w:szCs w:val="24"/>
        </w:rPr>
      </w:pPr>
      <w:r w:rsidRPr="001962D4">
        <w:rPr>
          <w:b/>
          <w:sz w:val="24"/>
          <w:szCs w:val="24"/>
        </w:rPr>
        <w:t xml:space="preserve">1. </w:t>
      </w:r>
      <w:r w:rsidR="00750CEE" w:rsidRPr="001962D4">
        <w:rPr>
          <w:b/>
          <w:sz w:val="24"/>
          <w:szCs w:val="24"/>
        </w:rPr>
        <w:t>UVOD</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Specijalna bolnica obavlja djelatnosti bolničke i specijalističko-konzilijarne zdravstvene zaštite iz područja fizikalne medicine i rehabilitacije.</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U okviru djelatnosti bolničke i specijalističko-konzilijarne zdravstvene zaštite iz područja fizikalne medicine i rehabilitacije,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Specijalna bolnica za medicinsku rehabilitaciju Varaždinske Toplice može obavljati znanstveno-nastavnu djelatnost uz suglasnost Ministarstva zdravstva.</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 xml:space="preserve">Osim osnovne djelatnosti Specijalna bolnica </w:t>
      </w:r>
      <w:r>
        <w:rPr>
          <w:rFonts w:eastAsia="Times New Roman"/>
          <w:sz w:val="24"/>
          <w:lang w:eastAsia="hr-HR"/>
        </w:rPr>
        <w:t>pruža</w:t>
      </w:r>
      <w:r w:rsidRPr="00750CEE">
        <w:rPr>
          <w:rFonts w:eastAsia="Times New Roman"/>
          <w:sz w:val="24"/>
          <w:lang w:eastAsia="hr-HR"/>
        </w:rPr>
        <w:t xml:space="preserve"> zdravstvene usluge u</w:t>
      </w:r>
      <w:r>
        <w:rPr>
          <w:rFonts w:eastAsia="Times New Roman"/>
          <w:sz w:val="24"/>
          <w:lang w:eastAsia="hr-HR"/>
        </w:rPr>
        <w:t xml:space="preserve"> turizmu, obavlja </w:t>
      </w:r>
      <w:r w:rsidRPr="00750CEE">
        <w:rPr>
          <w:rFonts w:eastAsia="Times New Roman"/>
          <w:sz w:val="24"/>
          <w:lang w:eastAsia="hr-HR"/>
        </w:rPr>
        <w:t>djelatnost ugostiteljstva, turizma i trgovine, odnosno poslove za koje ima odobrenje sukladno posebnom propisu.</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Upravljačka struktura i druga stalna tijela upravljanja Bolnicom utvrđena su Statutom Bolnice i drugim zakonskim propisima i čine ih:  Upravno vijeće, ravnatelj, zamjeni</w:t>
      </w:r>
      <w:r w:rsidR="00565175">
        <w:rPr>
          <w:rFonts w:eastAsia="Times New Roman"/>
          <w:sz w:val="24"/>
          <w:lang w:eastAsia="hr-HR"/>
        </w:rPr>
        <w:t>k</w:t>
      </w:r>
      <w:r w:rsidRPr="00750CEE">
        <w:rPr>
          <w:rFonts w:eastAsia="Times New Roman"/>
          <w:sz w:val="24"/>
          <w:lang w:eastAsia="hr-HR"/>
        </w:rPr>
        <w:t xml:space="preserve">  ravnatelja,  pomoćnik ravnatelja za kvalitetu zdravstvene zaštite, pomoćnik ravnatelja za sestrinstvo-glavna sestra bolnice, Voditelji odjela, Stručno vijeće, Stručni kolegiji, Etičko povjerenstvo, Povjerenstvo za lijekove i Povjerenstvo za kvalitetu.</w:t>
      </w:r>
    </w:p>
    <w:p w:rsidR="00273E5D" w:rsidRDefault="00750CEE" w:rsidP="00750CEE">
      <w:pPr>
        <w:spacing w:after="0" w:line="240" w:lineRule="auto"/>
        <w:jc w:val="both"/>
        <w:rPr>
          <w:rFonts w:eastAsia="Times New Roman"/>
          <w:sz w:val="24"/>
          <w:lang w:eastAsia="hr-HR"/>
        </w:rPr>
      </w:pPr>
      <w:r w:rsidRPr="00750CEE">
        <w:rPr>
          <w:rFonts w:eastAsia="Times New Roman"/>
          <w:sz w:val="24"/>
          <w:lang w:eastAsia="hr-HR"/>
        </w:rPr>
        <w:tab/>
        <w:t>Sredstva za rad i poslovanje Bolnica stječe iz proračuna</w:t>
      </w:r>
      <w:r w:rsidR="00006F12">
        <w:rPr>
          <w:rFonts w:eastAsia="Times New Roman"/>
          <w:sz w:val="24"/>
          <w:lang w:eastAsia="hr-HR"/>
        </w:rPr>
        <w:t xml:space="preserve"> – financijskog plana</w:t>
      </w:r>
      <w:r w:rsidRPr="00750CEE">
        <w:rPr>
          <w:rFonts w:eastAsia="Times New Roman"/>
          <w:sz w:val="24"/>
          <w:lang w:eastAsia="hr-HR"/>
        </w:rPr>
        <w:t xml:space="preserve"> (Ugovorom s Hrvatskim zavodom za zdravstveno osiguranje, Ugovorom s Ministarstvom zdravstva i socijalne skrbi, Ugovorima s Ministarstvom obitelji, branitelja i međugeneracijske solidarnosti, te od drugih tijela državne vlasti koji se na osnovi Zakona financiraju iz državnog proračuna, Ugovorom s jedinicom područne (regionalne) samouprave, Ugovorom s jedinicom lokalne samouprave, direktnom prodajom zdravstvenih, turističkih i ugostiteljskih usluga fizičkim i pravnim osobama, te iz drugih izvora na način i pod uvjetima utvrđe</w:t>
      </w:r>
      <w:r>
        <w:rPr>
          <w:rFonts w:eastAsia="Times New Roman"/>
          <w:sz w:val="24"/>
          <w:lang w:eastAsia="hr-HR"/>
        </w:rPr>
        <w:t>nim važećim zakonskim propisima</w:t>
      </w:r>
      <w:r w:rsidR="00054C4D">
        <w:rPr>
          <w:rFonts w:eastAsia="Times New Roman"/>
          <w:sz w:val="24"/>
          <w:lang w:eastAsia="hr-HR"/>
        </w:rPr>
        <w:t>)</w:t>
      </w:r>
      <w:r>
        <w:rPr>
          <w:rFonts w:eastAsia="Times New Roman"/>
          <w:sz w:val="24"/>
          <w:lang w:eastAsia="hr-HR"/>
        </w:rPr>
        <w:t>.</w:t>
      </w:r>
    </w:p>
    <w:p w:rsidR="00A31E9C" w:rsidRDefault="00A823E4" w:rsidP="00B03B26">
      <w:pPr>
        <w:spacing w:after="0" w:line="240" w:lineRule="auto"/>
        <w:jc w:val="both"/>
        <w:rPr>
          <w:rFonts w:eastAsia="Times New Roman"/>
          <w:sz w:val="24"/>
          <w:lang w:eastAsia="hr-HR"/>
        </w:rPr>
      </w:pPr>
      <w:r>
        <w:rPr>
          <w:rFonts w:eastAsia="Times New Roman"/>
          <w:sz w:val="24"/>
          <w:lang w:eastAsia="hr-HR"/>
        </w:rPr>
        <w:tab/>
        <w:t>Dužnost ravnatelja Specijalne bolnice za medicinsku rehabilitaciju Varaždinske Toplice obnaša Denis Kovačić, dr. med. spec. Odluk</w:t>
      </w:r>
      <w:r w:rsidR="00CB22FC">
        <w:rPr>
          <w:rFonts w:eastAsia="Times New Roman"/>
          <w:sz w:val="24"/>
          <w:lang w:eastAsia="hr-HR"/>
        </w:rPr>
        <w:t>om Upravnog vijeća od 15.03.2018</w:t>
      </w:r>
      <w:r>
        <w:rPr>
          <w:rFonts w:eastAsia="Times New Roman"/>
          <w:sz w:val="24"/>
          <w:lang w:eastAsia="hr-HR"/>
        </w:rPr>
        <w:t>. godine.</w:t>
      </w:r>
    </w:p>
    <w:p w:rsidR="001128CA" w:rsidRDefault="001128CA" w:rsidP="009265A9">
      <w:pPr>
        <w:tabs>
          <w:tab w:val="left" w:pos="2700"/>
        </w:tabs>
        <w:spacing w:after="0" w:line="240" w:lineRule="auto"/>
        <w:contextualSpacing/>
        <w:jc w:val="both"/>
      </w:pPr>
    </w:p>
    <w:p w:rsidR="006D7504" w:rsidRDefault="006D7504" w:rsidP="009265A9">
      <w:pPr>
        <w:tabs>
          <w:tab w:val="left" w:pos="2700"/>
        </w:tabs>
        <w:spacing w:after="0" w:line="240" w:lineRule="auto"/>
        <w:contextualSpacing/>
        <w:jc w:val="both"/>
      </w:pPr>
    </w:p>
    <w:p w:rsidR="00951A3C" w:rsidRDefault="00951A3C">
      <w:pPr>
        <w:rPr>
          <w:rFonts w:asciiTheme="majorHAnsi" w:eastAsiaTheme="majorEastAsia" w:hAnsiTheme="majorHAnsi" w:cstheme="majorBidi"/>
          <w:b/>
          <w:bCs/>
          <w:color w:val="365F91" w:themeColor="accent1" w:themeShade="BF"/>
          <w:sz w:val="24"/>
          <w:szCs w:val="24"/>
        </w:rPr>
      </w:pPr>
      <w:r>
        <w:rPr>
          <w:sz w:val="24"/>
          <w:szCs w:val="24"/>
        </w:rPr>
        <w:br w:type="page"/>
      </w:r>
    </w:p>
    <w:p w:rsidR="003D5C49" w:rsidRPr="001962D4" w:rsidRDefault="003D5C49" w:rsidP="00EB7AAF">
      <w:pPr>
        <w:pStyle w:val="Naslov1"/>
        <w:jc w:val="left"/>
        <w:rPr>
          <w:sz w:val="24"/>
          <w:szCs w:val="24"/>
        </w:rPr>
      </w:pPr>
      <w:r w:rsidRPr="001962D4">
        <w:rPr>
          <w:sz w:val="24"/>
          <w:szCs w:val="24"/>
        </w:rPr>
        <w:lastRenderedPageBreak/>
        <w:t>BILJEŠKE UZ OBRAZAC PR-RAS (VP 151) „IZVJEŠTAJ O PRIHODIMA I RASHODIMA, PRIMICIMA I IZDACIMA“ ZA RAZDOBLJE OD 1. SIJEČNJA DO 3</w:t>
      </w:r>
      <w:r w:rsidR="00B802D5">
        <w:rPr>
          <w:sz w:val="24"/>
          <w:szCs w:val="24"/>
        </w:rPr>
        <w:t>1</w:t>
      </w:r>
      <w:r w:rsidRPr="001962D4">
        <w:rPr>
          <w:sz w:val="24"/>
          <w:szCs w:val="24"/>
        </w:rPr>
        <w:t xml:space="preserve">. </w:t>
      </w:r>
      <w:r w:rsidR="00B802D5">
        <w:rPr>
          <w:sz w:val="24"/>
          <w:szCs w:val="24"/>
        </w:rPr>
        <w:t>PROSINCA</w:t>
      </w:r>
      <w:r w:rsidRPr="001962D4">
        <w:rPr>
          <w:sz w:val="24"/>
          <w:szCs w:val="24"/>
        </w:rPr>
        <w:t xml:space="preserve">  20</w:t>
      </w:r>
      <w:r w:rsidR="00B802D5">
        <w:rPr>
          <w:sz w:val="24"/>
          <w:szCs w:val="24"/>
        </w:rPr>
        <w:t>20</w:t>
      </w:r>
      <w:r w:rsidRPr="001962D4">
        <w:rPr>
          <w:sz w:val="24"/>
          <w:szCs w:val="24"/>
        </w:rPr>
        <w:t>. GODINE</w:t>
      </w:r>
    </w:p>
    <w:p w:rsidR="00DA4848" w:rsidRPr="00DA4848" w:rsidRDefault="00DA4848" w:rsidP="00DA4848"/>
    <w:p w:rsidR="003D5C49" w:rsidRDefault="003D5C49" w:rsidP="003D5C49">
      <w:pPr>
        <w:jc w:val="both"/>
      </w:pPr>
      <w:r w:rsidRPr="00837846">
        <w:rPr>
          <w:b/>
        </w:rPr>
        <w:t xml:space="preserve">AOP – </w:t>
      </w:r>
      <w:r>
        <w:rPr>
          <w:b/>
        </w:rPr>
        <w:t>0</w:t>
      </w:r>
      <w:r w:rsidR="00DA7674">
        <w:rPr>
          <w:b/>
        </w:rPr>
        <w:t>45</w:t>
      </w:r>
      <w:r w:rsidRPr="00837846">
        <w:rPr>
          <w:b/>
        </w:rPr>
        <w:t xml:space="preserve"> – </w:t>
      </w:r>
      <w:r>
        <w:rPr>
          <w:b/>
        </w:rPr>
        <w:t xml:space="preserve">Pomoći </w:t>
      </w:r>
      <w:r w:rsidR="00DA7674">
        <w:rPr>
          <w:b/>
        </w:rPr>
        <w:t>iz inozemstva i od subjekata unutar općeg proračuna</w:t>
      </w:r>
      <w:r w:rsidRPr="00837846">
        <w:rPr>
          <w:b/>
        </w:rPr>
        <w:t xml:space="preserve"> –</w:t>
      </w:r>
      <w:r w:rsidR="002029E8">
        <w:rPr>
          <w:b/>
        </w:rPr>
        <w:t xml:space="preserve"> </w:t>
      </w:r>
      <w:r w:rsidR="00DA7674">
        <w:t>u 20</w:t>
      </w:r>
      <w:r w:rsidR="00B802D5">
        <w:t>20</w:t>
      </w:r>
      <w:r w:rsidR="00DA7674">
        <w:t xml:space="preserve">. godini ostvarene su pomoći u iznosu </w:t>
      </w:r>
      <w:r w:rsidR="00B802D5">
        <w:t>40.575.143,00</w:t>
      </w:r>
      <w:r w:rsidR="00DA7674">
        <w:t xml:space="preserve"> kuna</w:t>
      </w:r>
      <w:r w:rsidR="00B802D5">
        <w:t>, veće su u odnosu na 2019. godinu za 1.418,80% ili za 37.903.636,00 kuna</w:t>
      </w:r>
      <w:r w:rsidR="00DA7674">
        <w:t xml:space="preserve">, a odnosi se na refundaciju 35% iznosa anuiteta za hidroterapiju „Terme“ iznos od </w:t>
      </w:r>
      <w:r w:rsidR="00B802D5">
        <w:t>228.549,66</w:t>
      </w:r>
      <w:r w:rsidR="00DA7674">
        <w:t xml:space="preserve"> kuna – povrat od Ministarstva zdravstva temeljem sklopljenog Sporazuma o sufinanciranju iz 2003. godine. Iznos od </w:t>
      </w:r>
      <w:r w:rsidR="00B802D5">
        <w:t>321.561,96</w:t>
      </w:r>
      <w:r w:rsidR="00DA7674">
        <w:t xml:space="preserve"> kuna odnosi se na sufinanciranje pripravničkog staža zdravstvenih radnika dobivenih iz EU sredstava preko HZZ, dok se iznos od </w:t>
      </w:r>
      <w:r w:rsidR="0026483A">
        <w:t>32.414.249,29</w:t>
      </w:r>
      <w:r w:rsidR="00FE4CDA">
        <w:t xml:space="preserve"> kuna odnosi na sufinanciranje projekata energetske obnove zgrada, </w:t>
      </w:r>
      <w:r w:rsidR="0026483A">
        <w:t>refundacija za izradu tehničke dokumentacije za uređenje 100 soba u objektu Minerva iznos od 189.812,00 kuna, refundacija za izradu tehničke dokumentacije za Lovrinu kupelj u iznosu 126.000,00 kuna, pomoći Ministarstva zdravstva za podmirenje dospjelog dugovanja dobavljačima lijekova i potrošnog materijala u iznosu 1.350.310,00 kuna, pomoći Ministarstva regionalnog razvoja za vlastitu komponentu ušešća na energetskoj obnovi objekta Minerva iznos od 3.000.000,00 kuna, prihodi po osnovu refundacije plaća HZZ-a za djelatnike ugostiteljstva uzrokovanih pandemijom COVID-19 u iznosu 2.940.550,00 kuna te prihodi na ime mjera pomoći grada Var. Toplica za porez na potrošnju u iznosu 4.109,93 kuna.</w:t>
      </w:r>
    </w:p>
    <w:p w:rsidR="00C6499A" w:rsidRDefault="00C6499A" w:rsidP="003D5C49">
      <w:pPr>
        <w:jc w:val="both"/>
      </w:pPr>
      <w:r w:rsidRPr="00C6499A">
        <w:rPr>
          <w:b/>
        </w:rPr>
        <w:t>AOP – 074 – Prihodi od imovine</w:t>
      </w:r>
      <w:r>
        <w:t xml:space="preserve"> – ostvareni u iznosu 124.768,00 kuna, manji su u odnosu na prethodnu 2019. godinu za 54,60% ili za 150.314,00 kuna, naplaćen manji iznos na ime kamata po žiro računima i računu Cash poola.</w:t>
      </w:r>
    </w:p>
    <w:p w:rsidR="00C6499A" w:rsidRDefault="00C6499A" w:rsidP="003D5C49">
      <w:pPr>
        <w:jc w:val="both"/>
      </w:pPr>
      <w:r w:rsidRPr="00C6499A">
        <w:rPr>
          <w:b/>
        </w:rPr>
        <w:t>AOP – 105 – Prihodi od upravnih i administrativnih pristojbi, pristojbi po posebnim propisima i naknada</w:t>
      </w:r>
      <w:r>
        <w:t xml:space="preserve"> – ostvareni su u iznosu 8.879.568,00 kuna, manji su u odnosu na prethodnu 2019. godinu za 51,8% ili za 9.540.267,00 kuna što je direktno povezano s pandemijom COVID-19 i izvođenjem građevinsko-obrtničkih radova na energetskoj obnovi bolničkih zgrada – manje punjenje bolničkih kapaciteta.</w:t>
      </w:r>
    </w:p>
    <w:p w:rsidR="00D04D19" w:rsidRDefault="00D04D19" w:rsidP="003D5C49">
      <w:pPr>
        <w:jc w:val="both"/>
      </w:pPr>
      <w:r w:rsidRPr="00837846">
        <w:rPr>
          <w:b/>
        </w:rPr>
        <w:t xml:space="preserve">AOP – </w:t>
      </w:r>
      <w:r w:rsidR="00FE4CDA">
        <w:rPr>
          <w:b/>
        </w:rPr>
        <w:t>12</w:t>
      </w:r>
      <w:r w:rsidR="00C6499A">
        <w:rPr>
          <w:b/>
        </w:rPr>
        <w:t>3</w:t>
      </w:r>
      <w:r w:rsidRPr="00837846">
        <w:rPr>
          <w:b/>
        </w:rPr>
        <w:t xml:space="preserve"> – </w:t>
      </w:r>
      <w:r w:rsidR="00C6499A">
        <w:rPr>
          <w:b/>
        </w:rPr>
        <w:t>Prihodi od prodaje proizvoda i robe te pruženih usluga i prihodi od donacija</w:t>
      </w:r>
      <w:r w:rsidRPr="00837846">
        <w:rPr>
          <w:b/>
        </w:rPr>
        <w:t xml:space="preserve"> –</w:t>
      </w:r>
      <w:r>
        <w:rPr>
          <w:b/>
        </w:rPr>
        <w:t xml:space="preserve"> </w:t>
      </w:r>
      <w:r w:rsidR="00FE4CDA">
        <w:t xml:space="preserve">ostvarene su u iznosu </w:t>
      </w:r>
      <w:r w:rsidR="00C6499A">
        <w:t xml:space="preserve">7.412.400,00 kuna i manji </w:t>
      </w:r>
      <w:r w:rsidR="00FE4CDA">
        <w:t xml:space="preserve"> su za </w:t>
      </w:r>
      <w:r w:rsidR="00C6499A">
        <w:t>67,80</w:t>
      </w:r>
      <w:r w:rsidR="00FE4CDA">
        <w:t xml:space="preserve">% u odnosu na prethodno razdoblje, a </w:t>
      </w:r>
      <w:r w:rsidR="00C6499A">
        <w:t>posljedično je vezano uz izvođenje građevinsko-obrtničkih radova na energetskoj obnovi objekata Bolnice</w:t>
      </w:r>
      <w:r w:rsidR="00CD6456">
        <w:t xml:space="preserve"> i situacije vezano uz COVID-19 i ostvarenja ostalih vlastitih prihoda od tržišta.</w:t>
      </w:r>
    </w:p>
    <w:p w:rsidR="00746F6A" w:rsidRDefault="00746F6A" w:rsidP="003D5C49">
      <w:pPr>
        <w:jc w:val="both"/>
      </w:pPr>
      <w:r w:rsidRPr="008542CA">
        <w:rPr>
          <w:b/>
        </w:rPr>
        <w:t>AOP – 130 – Prihodi od nadležnog proračuna i od HZZO-a na temelju ugovornih obveza</w:t>
      </w:r>
      <w:r>
        <w:t xml:space="preserve"> – ostvarene u ukupnom iznosu od 42.689.180,00 kuna, manji su od prethodne 2019. godine za 41,30% ili za 30.052.068,00 kuna. Prihodi iz nadležnog proračuna za financiranje redovne djelatnosti proračunskih korisnika (Decentralizirana sredstva) oprihodovana su u odnosu na 2019. godinu više za 2.032.000,00 kuna ili za 59,8% - veća refundacija na ime dodatnog ulaganja u energetsku obnovu bolničkih zgrada, dok su prihodi od HZZO-a na temelju ugovornih obveza oprihodovani u manjem iznosu u odnosu na prethodnu 2019. godinu za 46,3% ili za 32.084.068,00 kuna. Spomenuto smanjenje</w:t>
      </w:r>
      <w:r w:rsidR="009F062E">
        <w:t xml:space="preserve"> prihoda od HZZO-a</w:t>
      </w:r>
      <w:r>
        <w:t xml:space="preserve"> rezultat je slabijeg punjenja bolničkih kapaciteta što je najvećim dijelom posljedica pandemije COVID-19, te manjim dijelom rezultat izvođenja građevinsko-obrtničkih radova na energetskoj obnovi objekata Bolnice. </w:t>
      </w:r>
      <w:r w:rsidR="009F062E">
        <w:t>Za iznos više doznačenih sredstava od HZZO-a od stvarno izvršenih usluga razlika</w:t>
      </w:r>
      <w:r w:rsidR="000448EC">
        <w:t xml:space="preserve"> je evidentirana u ostalim tekućim obvezama.</w:t>
      </w:r>
    </w:p>
    <w:p w:rsidR="00E55831" w:rsidRPr="000448EC" w:rsidRDefault="00E55831" w:rsidP="003D5C49">
      <w:pPr>
        <w:jc w:val="both"/>
      </w:pPr>
      <w:r w:rsidRPr="000448EC">
        <w:rPr>
          <w:b/>
        </w:rPr>
        <w:lastRenderedPageBreak/>
        <w:t>AOP – 1</w:t>
      </w:r>
      <w:r w:rsidR="00FE4CDA" w:rsidRPr="000448EC">
        <w:rPr>
          <w:b/>
        </w:rPr>
        <w:t>36</w:t>
      </w:r>
      <w:r w:rsidRPr="000448EC">
        <w:rPr>
          <w:b/>
        </w:rPr>
        <w:t xml:space="preserve"> – </w:t>
      </w:r>
      <w:r w:rsidR="00FE4CDA" w:rsidRPr="000448EC">
        <w:rPr>
          <w:b/>
        </w:rPr>
        <w:t>Kazne, upravne mjere i ostali prihodi</w:t>
      </w:r>
      <w:r w:rsidRPr="000448EC">
        <w:t xml:space="preserve"> – </w:t>
      </w:r>
      <w:r w:rsidR="00FE4CDA" w:rsidRPr="000448EC">
        <w:t>u 20</w:t>
      </w:r>
      <w:r w:rsidR="000448EC" w:rsidRPr="000448EC">
        <w:t>20</w:t>
      </w:r>
      <w:r w:rsidR="00FE4CDA" w:rsidRPr="000448EC">
        <w:t xml:space="preserve">. godini prihod od </w:t>
      </w:r>
      <w:r w:rsidR="000448EC" w:rsidRPr="000448EC">
        <w:t>37,00 kuna</w:t>
      </w:r>
      <w:r w:rsidR="00FE4CDA" w:rsidRPr="000448EC">
        <w:t xml:space="preserve"> kuna odnosi se na ostvareni višak prihoda po inventuri</w:t>
      </w:r>
      <w:r w:rsidR="008A364A" w:rsidRPr="000448EC">
        <w:t>.</w:t>
      </w:r>
      <w:r w:rsidR="000448EC" w:rsidRPr="000448EC">
        <w:t xml:space="preserve"> Oprihodovani iznos je manji u odnosu na prethodnu 2019. godinu za 98,7% ili za 2.770,00 kuna.</w:t>
      </w:r>
    </w:p>
    <w:p w:rsidR="00D04D19" w:rsidRDefault="00D04D19" w:rsidP="00D04D19">
      <w:pPr>
        <w:jc w:val="both"/>
      </w:pPr>
      <w:r w:rsidRPr="00837846">
        <w:rPr>
          <w:b/>
        </w:rPr>
        <w:t xml:space="preserve">AOP – </w:t>
      </w:r>
      <w:r w:rsidR="000F1ED4">
        <w:rPr>
          <w:b/>
        </w:rPr>
        <w:t>161</w:t>
      </w:r>
      <w:r w:rsidRPr="00837846">
        <w:rPr>
          <w:b/>
        </w:rPr>
        <w:t xml:space="preserve"> – </w:t>
      </w:r>
      <w:r w:rsidR="000F1ED4">
        <w:rPr>
          <w:b/>
        </w:rPr>
        <w:t>Naknade troškova zaposlenima</w:t>
      </w:r>
      <w:r w:rsidRPr="00837846">
        <w:rPr>
          <w:b/>
        </w:rPr>
        <w:t xml:space="preserve"> –</w:t>
      </w:r>
      <w:r>
        <w:rPr>
          <w:b/>
        </w:rPr>
        <w:t xml:space="preserve"> </w:t>
      </w:r>
      <w:r w:rsidR="000F1ED4">
        <w:t xml:space="preserve">spomenuti rashodi </w:t>
      </w:r>
      <w:r w:rsidR="000448EC">
        <w:t>manj</w:t>
      </w:r>
      <w:r w:rsidR="000F1ED4">
        <w:t xml:space="preserve">i su za </w:t>
      </w:r>
      <w:r w:rsidR="000448EC">
        <w:t>27,5</w:t>
      </w:r>
      <w:r w:rsidR="000F1ED4">
        <w:t xml:space="preserve">% u odnosu na prethodnu godinu radi </w:t>
      </w:r>
      <w:r w:rsidR="000448EC">
        <w:t>manjeg</w:t>
      </w:r>
      <w:r w:rsidR="000F1ED4">
        <w:t xml:space="preserve"> broja odlazaka radnika na službena putovanja (</w:t>
      </w:r>
      <w:r w:rsidR="000448EC">
        <w:t>situacija vezana uz COVID-19</w:t>
      </w:r>
      <w:r w:rsidR="000F1ED4">
        <w:t xml:space="preserve">), </w:t>
      </w:r>
      <w:r w:rsidR="000448EC">
        <w:t>smanjenja</w:t>
      </w:r>
      <w:r w:rsidR="000F1ED4">
        <w:t xml:space="preserve"> nak</w:t>
      </w:r>
      <w:r w:rsidR="000448EC">
        <w:t>nada za prijevoz zaposlenika (izolacije, bolovanja)</w:t>
      </w:r>
      <w:r w:rsidR="000F1ED4">
        <w:t xml:space="preserve">. Na stručnom usavršavanju bio je </w:t>
      </w:r>
      <w:r w:rsidR="000448EC">
        <w:t xml:space="preserve">manji </w:t>
      </w:r>
      <w:r w:rsidR="000F1ED4">
        <w:t>broj korisnika upućen od Hrvatskog zavoda za zapošljavanje.</w:t>
      </w:r>
    </w:p>
    <w:p w:rsidR="00630F76" w:rsidRDefault="00630F76" w:rsidP="00D04D19">
      <w:pPr>
        <w:jc w:val="both"/>
      </w:pPr>
      <w:r w:rsidRPr="006025CF">
        <w:rPr>
          <w:b/>
        </w:rPr>
        <w:t>AOP – 166 – Rashodi za materijal i energiju</w:t>
      </w:r>
      <w:r>
        <w:t xml:space="preserve"> – spomenuti rashodi manji su za 31,4% u odnosu na prethodnu godinu radi manjeg broja korisnika na smještaju zbog situacije vezanu uz COVID-19 i izvođenja građevinsko-obrtničkih radova na energetskoj obnovi Bolnice.</w:t>
      </w:r>
    </w:p>
    <w:p w:rsidR="008A364A" w:rsidRDefault="008A364A" w:rsidP="00D04D19">
      <w:pPr>
        <w:jc w:val="both"/>
      </w:pPr>
      <w:r w:rsidRPr="008A364A">
        <w:rPr>
          <w:b/>
        </w:rPr>
        <w:t xml:space="preserve">AOP – </w:t>
      </w:r>
      <w:r w:rsidR="000F1ED4">
        <w:rPr>
          <w:b/>
        </w:rPr>
        <w:t>170</w:t>
      </w:r>
      <w:r w:rsidRPr="008A364A">
        <w:rPr>
          <w:b/>
        </w:rPr>
        <w:t xml:space="preserve"> – </w:t>
      </w:r>
      <w:r w:rsidR="000F1ED4">
        <w:rPr>
          <w:b/>
        </w:rPr>
        <w:t>Materijal i dijelovi za tekuće i investicijsko održavanje</w:t>
      </w:r>
      <w:r>
        <w:t xml:space="preserve"> </w:t>
      </w:r>
      <w:r w:rsidR="000F1ED4">
        <w:t>–</w:t>
      </w:r>
      <w:r>
        <w:t xml:space="preserve"> </w:t>
      </w:r>
      <w:r w:rsidR="000F1ED4">
        <w:t xml:space="preserve">zbog pripreme i provođenja projekata energetske obnove bolničkih zgrada, zaposlenici tehničke službe su angažirani na održavanju u manjem obimu u odnosu na prethodnu godinu. </w:t>
      </w:r>
    </w:p>
    <w:p w:rsidR="00404AEE" w:rsidRDefault="00D04D19" w:rsidP="003D5C49">
      <w:pPr>
        <w:jc w:val="both"/>
      </w:pPr>
      <w:r w:rsidRPr="00837846">
        <w:rPr>
          <w:b/>
        </w:rPr>
        <w:t xml:space="preserve">AOP – </w:t>
      </w:r>
      <w:r w:rsidR="00CC265A">
        <w:rPr>
          <w:b/>
        </w:rPr>
        <w:t>174</w:t>
      </w:r>
      <w:r w:rsidRPr="00837846">
        <w:rPr>
          <w:b/>
        </w:rPr>
        <w:t xml:space="preserve"> – </w:t>
      </w:r>
      <w:r w:rsidR="00CC265A">
        <w:rPr>
          <w:b/>
        </w:rPr>
        <w:t>Rashodi za usluge</w:t>
      </w:r>
      <w:r>
        <w:rPr>
          <w:b/>
        </w:rPr>
        <w:t xml:space="preserve"> </w:t>
      </w:r>
      <w:r w:rsidRPr="00837846">
        <w:rPr>
          <w:b/>
        </w:rPr>
        <w:t>–</w:t>
      </w:r>
      <w:r>
        <w:rPr>
          <w:b/>
        </w:rPr>
        <w:t xml:space="preserve"> </w:t>
      </w:r>
      <w:r w:rsidR="006025CF">
        <w:t>manji</w:t>
      </w:r>
      <w:r w:rsidR="00CC265A">
        <w:t xml:space="preserve"> su za </w:t>
      </w:r>
      <w:r w:rsidR="006025CF">
        <w:t>6,8</w:t>
      </w:r>
      <w:r w:rsidR="00CC265A">
        <w:t>% u odnosu na 201</w:t>
      </w:r>
      <w:r w:rsidR="006025CF">
        <w:t>9</w:t>
      </w:r>
      <w:r w:rsidR="00CC265A">
        <w:t>. godinu</w:t>
      </w:r>
      <w:r w:rsidR="006025CF">
        <w:t>. Evidentirano je smanjenje rashoda u dijelu promidžba i informiranje, komunalne usluge, zakupnine i najamnine, intelektualne usluge što je posljedično vezano uz situaciju COVID-19 i izvođenje građevinsko-obrtničkih radova na objektima Bolnice (smanjen obim aktivnosti). Evidentirano je povećanje</w:t>
      </w:r>
      <w:r w:rsidR="00CC265A">
        <w:t xml:space="preserve"> </w:t>
      </w:r>
      <w:r w:rsidR="006025CF">
        <w:t>na stavci</w:t>
      </w:r>
      <w:r w:rsidR="00CC265A">
        <w:t xml:space="preserve"> tekućeg i investicijskog održavanja (održavanje zastarjele opreme</w:t>
      </w:r>
      <w:r w:rsidR="006025CF">
        <w:t>, djelomično uređenje prostora nakon radova na energetskoj obnovi objekata Bolnice).</w:t>
      </w:r>
    </w:p>
    <w:p w:rsidR="006025CF" w:rsidRDefault="006025CF" w:rsidP="003D5C49">
      <w:pPr>
        <w:jc w:val="both"/>
      </w:pPr>
      <w:r w:rsidRPr="00631534">
        <w:rPr>
          <w:b/>
        </w:rPr>
        <w:t>AOP – 184 – Naknade troškova osobama izvan radnog odnosa</w:t>
      </w:r>
      <w:r>
        <w:t xml:space="preserve"> </w:t>
      </w:r>
      <w:r w:rsidR="00631534">
        <w:t>–</w:t>
      </w:r>
      <w:r>
        <w:t xml:space="preserve"> </w:t>
      </w:r>
      <w:r w:rsidR="00631534">
        <w:t>smanjenje u odnosu na prethodnu 2019. godinu za 60,6% - manji broj osoba na stručnom osposobljavanju.</w:t>
      </w:r>
    </w:p>
    <w:p w:rsidR="00631534" w:rsidRDefault="00631534" w:rsidP="003D5C49">
      <w:pPr>
        <w:jc w:val="both"/>
      </w:pPr>
      <w:r w:rsidRPr="00631534">
        <w:rPr>
          <w:b/>
        </w:rPr>
        <w:t>AOP – 185 – Ostali nespomenuti rashodi poslovanja</w:t>
      </w:r>
      <w:r>
        <w:t xml:space="preserve"> – u odnosu na prethodnu godinu evidentirano je smanjenje za 1,5% (premije osiguranja, članarine udrugama, razne pristojbe i naknade), dok je povećanje evidentirano na naknadama za rad Upravnog vijeća (1 član više u odnosu na prethodnu godinu), reprezentaciji (uvodne i završne konferencije po projektima energetske obnove).</w:t>
      </w:r>
    </w:p>
    <w:p w:rsidR="003D5C49" w:rsidRDefault="00CC7BE8" w:rsidP="003D5C49">
      <w:pPr>
        <w:jc w:val="both"/>
      </w:pPr>
      <w:r w:rsidRPr="00433F63">
        <w:rPr>
          <w:b/>
        </w:rPr>
        <w:t xml:space="preserve">AOP – </w:t>
      </w:r>
      <w:r w:rsidR="00631534">
        <w:rPr>
          <w:b/>
        </w:rPr>
        <w:t>199</w:t>
      </w:r>
      <w:r w:rsidRPr="00433F63">
        <w:rPr>
          <w:b/>
        </w:rPr>
        <w:t xml:space="preserve"> – </w:t>
      </w:r>
      <w:r w:rsidR="003667A5">
        <w:rPr>
          <w:b/>
        </w:rPr>
        <w:t>Kamate za primljene kredite</w:t>
      </w:r>
      <w:r w:rsidR="00631534">
        <w:rPr>
          <w:b/>
        </w:rPr>
        <w:t xml:space="preserve"> i  zajmove</w:t>
      </w:r>
      <w:r>
        <w:t xml:space="preserve"> – </w:t>
      </w:r>
      <w:r w:rsidR="00521B68">
        <w:t xml:space="preserve">spomenuti rashodi veći su u odnosu na prethodnu 2019. godinu za 1.040,70% ili za 213.637,00 kuna, a odnosi se na interkalarne kamate po investicijskim kreditima. </w:t>
      </w:r>
    </w:p>
    <w:p w:rsidR="006F2E71" w:rsidRDefault="006F2E71" w:rsidP="003D5C49">
      <w:pPr>
        <w:jc w:val="both"/>
      </w:pPr>
      <w:r w:rsidRPr="00AE11CB">
        <w:rPr>
          <w:b/>
        </w:rPr>
        <w:t xml:space="preserve">AOP – </w:t>
      </w:r>
      <w:r w:rsidR="00521B68">
        <w:rPr>
          <w:b/>
        </w:rPr>
        <w:t>207</w:t>
      </w:r>
      <w:r w:rsidRPr="00AE11CB">
        <w:rPr>
          <w:b/>
        </w:rPr>
        <w:t xml:space="preserve"> – </w:t>
      </w:r>
      <w:r w:rsidR="00521B68">
        <w:rPr>
          <w:b/>
        </w:rPr>
        <w:t>Ostali financijski rashodi</w:t>
      </w:r>
      <w:r>
        <w:t xml:space="preserve"> – </w:t>
      </w:r>
      <w:r w:rsidR="00521B68">
        <w:t xml:space="preserve">u odnosu na prethodnu 2019. godinu bilježimo ukupno smanjenje za 26,6%. Najveći udio smanjenja evidentiran je u negativnim tečajnim razlikama – prethodne 2019. godine otplaćen kredit za hidroterapiju Terme u cijelosti. Povećanje je evidentirano u bankarskim uslugama i zateznim kamatama. U 2020. godini Bolnica je bila primorana sklopiti dva Upravna ugovora za namirenje poreznog duga (jedan u mjesecu travnju, drugi u mjesecu rujnu) za što je trebalo ishoditi bankarske garancije, </w:t>
      </w:r>
      <w:r w:rsidR="00137D33">
        <w:t>a posljedično sklopljenom Upravnom ugovoru u obvezi smo plaćati zatezne kamate za PDV koji nije plaćen u zakonskom roku.</w:t>
      </w:r>
    </w:p>
    <w:p w:rsidR="00137D33" w:rsidRDefault="00137D33" w:rsidP="003D5C49">
      <w:pPr>
        <w:jc w:val="both"/>
      </w:pPr>
      <w:r w:rsidRPr="002C04B1">
        <w:rPr>
          <w:b/>
        </w:rPr>
        <w:t>AOP – 246 – Naknade građanima i kućanstvima na temelju osiguranja i druge naknade</w:t>
      </w:r>
      <w:r>
        <w:t xml:space="preserve"> – bilježimo povećanje za 408,30% u odnosu na prethodnu 2019. godinu, a odnosi se na stipendije djeci preminulih radnika (u 2020. godini preminula dva djelatnika iza kojih je ostalo </w:t>
      </w:r>
      <w:r w:rsidR="00CD6456">
        <w:t>petero</w:t>
      </w:r>
      <w:r>
        <w:t xml:space="preserve"> malodobne djece).</w:t>
      </w:r>
    </w:p>
    <w:p w:rsidR="003D5C49" w:rsidRDefault="003D5C49" w:rsidP="003D5C49">
      <w:pPr>
        <w:jc w:val="both"/>
      </w:pPr>
      <w:r w:rsidRPr="00096DBE">
        <w:rPr>
          <w:b/>
        </w:rPr>
        <w:lastRenderedPageBreak/>
        <w:t xml:space="preserve">AOP – </w:t>
      </w:r>
      <w:r w:rsidR="000E0EC1">
        <w:rPr>
          <w:b/>
        </w:rPr>
        <w:t>257</w:t>
      </w:r>
      <w:r w:rsidRPr="00096DBE">
        <w:rPr>
          <w:b/>
        </w:rPr>
        <w:t xml:space="preserve"> – </w:t>
      </w:r>
      <w:r w:rsidR="000E0EC1">
        <w:rPr>
          <w:b/>
        </w:rPr>
        <w:t>Ostali rashodi</w:t>
      </w:r>
      <w:r>
        <w:t xml:space="preserve"> – </w:t>
      </w:r>
      <w:r w:rsidR="00137D33">
        <w:t xml:space="preserve">prethodne godine isplaćen </w:t>
      </w:r>
      <w:r w:rsidR="000E0EC1">
        <w:t xml:space="preserve">iznos od 53.000,00 kuna </w:t>
      </w:r>
      <w:r w:rsidR="00137D33">
        <w:t xml:space="preserve">- </w:t>
      </w:r>
      <w:r w:rsidR="000E0EC1">
        <w:t>odnosi</w:t>
      </w:r>
      <w:r w:rsidR="00137D33">
        <w:t>o</w:t>
      </w:r>
      <w:r w:rsidR="000E0EC1">
        <w:t xml:space="preserve"> se na isplatu štete fizičkoj osobi-pacijentici radi tjelesne povrede u prostorima Bolnice za vrijeme fizikalne rehabilitacije (</w:t>
      </w:r>
      <w:r w:rsidR="003430DB">
        <w:t xml:space="preserve">van sudska </w:t>
      </w:r>
      <w:r w:rsidR="000E0EC1">
        <w:t xml:space="preserve">nagodba koja </w:t>
      </w:r>
      <w:r w:rsidR="003430DB">
        <w:t>nije</w:t>
      </w:r>
      <w:r w:rsidR="000E0EC1">
        <w:t xml:space="preserve"> bila pokrita policom osiguranja).</w:t>
      </w:r>
    </w:p>
    <w:p w:rsidR="003D5C49" w:rsidRDefault="003D5C49" w:rsidP="003D5C49">
      <w:pPr>
        <w:jc w:val="both"/>
      </w:pPr>
      <w:r w:rsidRPr="000E444E">
        <w:rPr>
          <w:b/>
        </w:rPr>
        <w:t xml:space="preserve">AOP – </w:t>
      </w:r>
      <w:r w:rsidR="000E0EC1">
        <w:rPr>
          <w:b/>
        </w:rPr>
        <w:t>287</w:t>
      </w:r>
      <w:r w:rsidRPr="000E444E">
        <w:rPr>
          <w:b/>
        </w:rPr>
        <w:t xml:space="preserve">- </w:t>
      </w:r>
      <w:r w:rsidR="000E0EC1">
        <w:rPr>
          <w:b/>
        </w:rPr>
        <w:t>Obračunati prihodi od prodaje proizvoda i robe i pruženih usluga-nenaplaćeni</w:t>
      </w:r>
      <w:r>
        <w:t xml:space="preserve"> – </w:t>
      </w:r>
      <w:r w:rsidR="000E0EC1">
        <w:t xml:space="preserve">u tekućoj godini </w:t>
      </w:r>
      <w:r w:rsidR="00137D33">
        <w:t>uz</w:t>
      </w:r>
      <w:r w:rsidR="000E0EC1">
        <w:t xml:space="preserve"> pacijenta koji se nalazi na dugotrajnom liječenju u našoj ustanovi</w:t>
      </w:r>
      <w:r w:rsidR="00A76186">
        <w:t xml:space="preserve"> (upitna </w:t>
      </w:r>
      <w:r w:rsidR="003430DB">
        <w:t>naplativost</w:t>
      </w:r>
      <w:r w:rsidR="00A76186">
        <w:t xml:space="preserve"> evidentiranog potraživanj</w:t>
      </w:r>
      <w:r w:rsidR="00137D33">
        <w:t>a za pruženu medicinsku uslugu).</w:t>
      </w:r>
    </w:p>
    <w:p w:rsidR="003D5C49" w:rsidRPr="002D1BD1" w:rsidRDefault="003D5C49" w:rsidP="003D5C49">
      <w:pPr>
        <w:jc w:val="both"/>
      </w:pPr>
      <w:r w:rsidRPr="002D1BD1">
        <w:rPr>
          <w:b/>
        </w:rPr>
        <w:t xml:space="preserve">AOP – </w:t>
      </w:r>
      <w:r w:rsidR="00A76186">
        <w:rPr>
          <w:b/>
        </w:rPr>
        <w:t>302</w:t>
      </w:r>
      <w:r w:rsidRPr="002D1BD1">
        <w:rPr>
          <w:b/>
        </w:rPr>
        <w:t xml:space="preserve"> – </w:t>
      </w:r>
      <w:r w:rsidR="00A76186">
        <w:rPr>
          <w:b/>
        </w:rPr>
        <w:t>Prihodi od prodaje proizvedene dugotrajne imovine</w:t>
      </w:r>
      <w:r w:rsidRPr="002D1BD1">
        <w:t xml:space="preserve"> – </w:t>
      </w:r>
      <w:r w:rsidR="00FB2146">
        <w:t xml:space="preserve">manji za 37,8% u odnosu na prethodnu godinu, a odnose se na </w:t>
      </w:r>
      <w:r w:rsidR="00A76186">
        <w:t>prihod</w:t>
      </w:r>
      <w:r w:rsidR="00FB2146">
        <w:t>e</w:t>
      </w:r>
      <w:r w:rsidR="00A76186">
        <w:t xml:space="preserve"> </w:t>
      </w:r>
      <w:r w:rsidR="00671F9A">
        <w:t>nad</w:t>
      </w:r>
      <w:r w:rsidR="003430DB">
        <w:t xml:space="preserve"> kojima postoji stanarsko pravo</w:t>
      </w:r>
      <w:r w:rsidR="00FB2146">
        <w:t xml:space="preserve"> – veći broj stanova otplaćen prethodne godine</w:t>
      </w:r>
      <w:r w:rsidR="00137D33">
        <w:t>.</w:t>
      </w:r>
    </w:p>
    <w:p w:rsidR="003D5C49" w:rsidRDefault="003D5C49" w:rsidP="003D5C49">
      <w:pPr>
        <w:jc w:val="both"/>
      </w:pPr>
      <w:r w:rsidRPr="00975AF4">
        <w:rPr>
          <w:b/>
        </w:rPr>
        <w:t xml:space="preserve">AOP – </w:t>
      </w:r>
      <w:r w:rsidR="00671F9A">
        <w:rPr>
          <w:b/>
        </w:rPr>
        <w:t>350</w:t>
      </w:r>
      <w:r w:rsidRPr="00975AF4">
        <w:rPr>
          <w:b/>
        </w:rPr>
        <w:t xml:space="preserve"> – </w:t>
      </w:r>
      <w:r w:rsidR="00671F9A">
        <w:rPr>
          <w:b/>
        </w:rPr>
        <w:t>Licence</w:t>
      </w:r>
      <w:r>
        <w:t xml:space="preserve"> – </w:t>
      </w:r>
      <w:r w:rsidR="0012715F">
        <w:t xml:space="preserve"> evidentirano smanjenje za 18,9%, prethodne godine povećani izdaci </w:t>
      </w:r>
      <w:r w:rsidR="00671F9A">
        <w:t>zbog uvođenja novog bolničkog sustava</w:t>
      </w:r>
      <w:r w:rsidR="00EB12BE">
        <w:t>.</w:t>
      </w:r>
    </w:p>
    <w:p w:rsidR="0012715F" w:rsidRDefault="0012715F" w:rsidP="003D5C49">
      <w:pPr>
        <w:jc w:val="both"/>
      </w:pPr>
      <w:r w:rsidRPr="005F1399">
        <w:rPr>
          <w:b/>
        </w:rPr>
        <w:t xml:space="preserve">AOP – 357 – Poslovni objekti </w:t>
      </w:r>
      <w:r>
        <w:t xml:space="preserve">– odnosi se na </w:t>
      </w:r>
      <w:r w:rsidR="004E0D33">
        <w:t>pripremne radnje za izgradnju</w:t>
      </w:r>
      <w:r>
        <w:t xml:space="preserve"> Nacionaln</w:t>
      </w:r>
      <w:r w:rsidR="004E0D33">
        <w:t>og</w:t>
      </w:r>
      <w:r>
        <w:t xml:space="preserve"> rehabilitacijsk</w:t>
      </w:r>
      <w:r w:rsidR="004E0D33">
        <w:t>og</w:t>
      </w:r>
      <w:r>
        <w:t xml:space="preserve"> cent</w:t>
      </w:r>
      <w:r w:rsidR="004E0D33">
        <w:t>ra</w:t>
      </w:r>
      <w:r>
        <w:t xml:space="preserve"> za osobe s bolestima kralježnične moždine, </w:t>
      </w:r>
      <w:r w:rsidR="005F1399">
        <w:t>u 2020. godini odabrani je</w:t>
      </w:r>
      <w:r>
        <w:t xml:space="preserve"> izvođača radova, počela priprema gradilišta. Troškovi manji u odnosu na prethodnu 2019. godinu jer je većina pripremnih radnji odrađena u prethodnim godinama.</w:t>
      </w:r>
      <w:r w:rsidR="004E0D33">
        <w:t xml:space="preserve"> </w:t>
      </w:r>
    </w:p>
    <w:p w:rsidR="005F1399" w:rsidRDefault="005F1399" w:rsidP="003D5C49">
      <w:pPr>
        <w:jc w:val="both"/>
      </w:pPr>
      <w:r w:rsidRPr="00610C3A">
        <w:rPr>
          <w:b/>
        </w:rPr>
        <w:t>AOP – 361 – Uredska oprema i namještaj</w:t>
      </w:r>
      <w:r>
        <w:t xml:space="preserve"> – u odnosu na prethodnu 2019. godinu evidentirano je povećanje za 8,7%</w:t>
      </w:r>
      <w:r w:rsidR="00A87DB7">
        <w:t>, a odnosi se na uređenje uređenje soba nakon energetske obnove.</w:t>
      </w:r>
    </w:p>
    <w:p w:rsidR="00A87DB7" w:rsidRDefault="00A87DB7" w:rsidP="003D5C49">
      <w:pPr>
        <w:jc w:val="both"/>
      </w:pPr>
      <w:r w:rsidRPr="00610C3A">
        <w:rPr>
          <w:b/>
        </w:rPr>
        <w:t>AOP – 362 – Komunikacijska oprema</w:t>
      </w:r>
      <w:r>
        <w:t xml:space="preserve"> – evidentirano povećanje u odnosu na prethodnu godinu za 56% odnosi se na nabavku televizora za opremanje soba</w:t>
      </w:r>
      <w:r w:rsidR="00610C3A">
        <w:t>.</w:t>
      </w:r>
      <w:r w:rsidR="00FB2146">
        <w:t xml:space="preserve"> Nabavljana samo nužna oprema zbog smanjenog obima rada.</w:t>
      </w:r>
    </w:p>
    <w:p w:rsidR="00610C3A" w:rsidRDefault="00610C3A" w:rsidP="003D5C49">
      <w:pPr>
        <w:jc w:val="both"/>
      </w:pPr>
      <w:r w:rsidRPr="00610C3A">
        <w:rPr>
          <w:b/>
        </w:rPr>
        <w:t>AOP – 363 – Oprema za održavanje i zaštitu</w:t>
      </w:r>
      <w:r>
        <w:t xml:space="preserve"> – u poslovnoj 2020. godini spomenuta oprema nije nabavljana, nabavljana samo neophodna oprema. </w:t>
      </w:r>
    </w:p>
    <w:p w:rsidR="003D5C49" w:rsidRDefault="003D5C49" w:rsidP="003D5C49">
      <w:pPr>
        <w:jc w:val="both"/>
      </w:pPr>
      <w:r w:rsidRPr="00975AF4">
        <w:rPr>
          <w:b/>
        </w:rPr>
        <w:t xml:space="preserve">AOP – </w:t>
      </w:r>
      <w:r w:rsidR="00671F9A">
        <w:rPr>
          <w:b/>
        </w:rPr>
        <w:t>364 – Medicinska i laboratorijska oprema</w:t>
      </w:r>
      <w:r>
        <w:t xml:space="preserve"> – </w:t>
      </w:r>
      <w:r w:rsidR="00671F9A">
        <w:t xml:space="preserve">nabavljena je oprema u iznosu </w:t>
      </w:r>
      <w:r w:rsidR="005F1399">
        <w:t>437.514,00</w:t>
      </w:r>
      <w:r w:rsidR="00671F9A">
        <w:t xml:space="preserve"> kuna što je </w:t>
      </w:r>
      <w:r w:rsidR="005F1399">
        <w:t>manje</w:t>
      </w:r>
      <w:r w:rsidR="00671F9A">
        <w:t xml:space="preserve"> za </w:t>
      </w:r>
      <w:r w:rsidR="005F1399">
        <w:t xml:space="preserve">75,3% u odnosu na prethodnu godinu, nabavljana samo neophodna oprema (bolnički kreveti, dišni aparati s bocama, maglomati, pulsni oksimetar) zbog situacije vezano uz COVID-19 i građevinsko-obrtničkih radova na objektima bolnice. </w:t>
      </w:r>
    </w:p>
    <w:p w:rsidR="003D5C49" w:rsidRDefault="003D5C49" w:rsidP="003D5C49">
      <w:pPr>
        <w:jc w:val="both"/>
      </w:pPr>
      <w:r w:rsidRPr="00022D89">
        <w:rPr>
          <w:b/>
        </w:rPr>
        <w:t xml:space="preserve">AOP – </w:t>
      </w:r>
      <w:r w:rsidR="00671F9A">
        <w:rPr>
          <w:b/>
        </w:rPr>
        <w:t>369</w:t>
      </w:r>
      <w:r w:rsidRPr="00022D89">
        <w:rPr>
          <w:b/>
        </w:rPr>
        <w:t xml:space="preserve"> – </w:t>
      </w:r>
      <w:r w:rsidR="00671F9A">
        <w:rPr>
          <w:b/>
        </w:rPr>
        <w:t>Prijevozna sredstva</w:t>
      </w:r>
      <w:r>
        <w:t xml:space="preserve"> – </w:t>
      </w:r>
      <w:r w:rsidR="00671F9A">
        <w:t>u 2019. godini je za potrebe Bolnic</w:t>
      </w:r>
      <w:r w:rsidR="00610C3A">
        <w:t>e nabavljeno novo kombi vozilo, u 2020. godini bila planirana nabavka osobnog vozila, ali zbog loše situacije i smanjenja vlastitih prihoda od istog se odustalo.</w:t>
      </w:r>
    </w:p>
    <w:p w:rsidR="00AB6C09" w:rsidRDefault="003D5C49" w:rsidP="003D5C49">
      <w:pPr>
        <w:jc w:val="both"/>
      </w:pPr>
      <w:r w:rsidRPr="007C5484">
        <w:rPr>
          <w:b/>
        </w:rPr>
        <w:t xml:space="preserve">AOP – </w:t>
      </w:r>
      <w:r w:rsidR="00671F9A">
        <w:rPr>
          <w:b/>
        </w:rPr>
        <w:t>384</w:t>
      </w:r>
      <w:r w:rsidRPr="007C5484">
        <w:rPr>
          <w:b/>
        </w:rPr>
        <w:t xml:space="preserve"> – </w:t>
      </w:r>
      <w:r w:rsidR="00671F9A">
        <w:rPr>
          <w:b/>
        </w:rPr>
        <w:t>ulaganja u računalne programe</w:t>
      </w:r>
      <w:r>
        <w:t xml:space="preserve"> – </w:t>
      </w:r>
      <w:r w:rsidR="00610C3A">
        <w:t xml:space="preserve">u 2020. godini </w:t>
      </w:r>
      <w:r w:rsidR="004E0D33">
        <w:t>izvršena nadogradnja</w:t>
      </w:r>
      <w:r w:rsidR="00610C3A">
        <w:t xml:space="preserve"> program</w:t>
      </w:r>
      <w:r w:rsidR="004E0D33">
        <w:t>a</w:t>
      </w:r>
      <w:r w:rsidR="00610C3A">
        <w:t xml:space="preserve"> za sestrinsku dokumentaciju</w:t>
      </w:r>
      <w:r w:rsidR="004E0D33">
        <w:t xml:space="preserve"> i nadogradnja bolničkog sustava (CUS).</w:t>
      </w:r>
    </w:p>
    <w:p w:rsidR="00F03482" w:rsidRDefault="009C47A7" w:rsidP="009C47A7">
      <w:pPr>
        <w:jc w:val="both"/>
      </w:pPr>
      <w:r w:rsidRPr="00434327">
        <w:rPr>
          <w:b/>
        </w:rPr>
        <w:t xml:space="preserve">AOP – </w:t>
      </w:r>
      <w:r w:rsidR="00C26934">
        <w:rPr>
          <w:b/>
        </w:rPr>
        <w:t>393</w:t>
      </w:r>
      <w:r w:rsidRPr="00434327">
        <w:rPr>
          <w:b/>
        </w:rPr>
        <w:t xml:space="preserve"> – </w:t>
      </w:r>
      <w:r w:rsidR="00C26934">
        <w:rPr>
          <w:b/>
        </w:rPr>
        <w:t>Rashodi za dodatna ulaganja na nefinancijskoj imovini</w:t>
      </w:r>
      <w:r w:rsidRPr="00434327">
        <w:rPr>
          <w:b/>
        </w:rPr>
        <w:t xml:space="preserve"> –</w:t>
      </w:r>
      <w:r>
        <w:t xml:space="preserve"> </w:t>
      </w:r>
      <w:r w:rsidR="004E0D33">
        <w:t xml:space="preserve">u odnosu na prethodnu 2019. godinu evidentirano je povećanje za 400,2%. Početkom 2020. godine uz aktualne radove na energetskoj obnovi objekta Minerva započeli su radovi </w:t>
      </w:r>
      <w:r w:rsidR="00C26934">
        <w:t xml:space="preserve"> na energetskoj obnovi objekta </w:t>
      </w:r>
      <w:r w:rsidR="004E0D33">
        <w:t>Lovrina kupelj i Skupa zgrada</w:t>
      </w:r>
      <w:r w:rsidR="00C26934">
        <w:t xml:space="preserve"> – evidentirani su rashodi u iznosu </w:t>
      </w:r>
      <w:r w:rsidR="004E0D33">
        <w:t>113.417.992,00</w:t>
      </w:r>
      <w:r w:rsidR="00C26934">
        <w:t xml:space="preserve"> kuna (iznos izvršenih radova, projektantski i stručni nadzor)</w:t>
      </w:r>
      <w:r>
        <w:t>.</w:t>
      </w:r>
      <w:r w:rsidR="00C26934">
        <w:t xml:space="preserve"> Spomenuti rashodi se financiraju iz Fonda za sufinanciranje provedbe EU projekata na regionalnoj i lokalnoj razini – primljena akontacija od </w:t>
      </w:r>
      <w:r w:rsidR="004E0D33">
        <w:t>3</w:t>
      </w:r>
      <w:r w:rsidR="00C26934">
        <w:t>.000.000,00 kuna</w:t>
      </w:r>
      <w:r w:rsidR="004E0D33">
        <w:t>, kre</w:t>
      </w:r>
      <w:r w:rsidR="00FB2146">
        <w:t>ditnih sredstava, EU sredstava i vlastitih sredstava.</w:t>
      </w:r>
    </w:p>
    <w:p w:rsidR="00630F76" w:rsidRDefault="00630F76" w:rsidP="009C47A7">
      <w:pPr>
        <w:jc w:val="both"/>
      </w:pPr>
      <w:r w:rsidRPr="00630F76">
        <w:rPr>
          <w:b/>
        </w:rPr>
        <w:lastRenderedPageBreak/>
        <w:t>AOP – 474 – Primici od zaduživanja</w:t>
      </w:r>
      <w:r>
        <w:t xml:space="preserve"> – evidentirani u iznosu 53.459.941,00 kuna, a odnose se na kredite za zatvaranje financijske konstrukcije vezano uz građevinsko-obrtničke radove na energetskoj obnovi bolničkih zgrada. Iz ESIF kredita HBOR-a evidentiran je iznos od 32.591.515,00 kuna, dok je od poslovne Zagrebačke banke evidentiran iznos od 20.686.426,00 kuna.</w:t>
      </w:r>
    </w:p>
    <w:p w:rsidR="00F03482" w:rsidRDefault="00F03482" w:rsidP="009C47A7">
      <w:pPr>
        <w:jc w:val="both"/>
      </w:pPr>
    </w:p>
    <w:p w:rsidR="00F03482" w:rsidRDefault="00F03482" w:rsidP="00F03482">
      <w:pPr>
        <w:pStyle w:val="Naslov3"/>
      </w:pPr>
      <w:r>
        <w:t>Tablica 1. Struktura ukupnih prihoda i primitaka, rashoda i izdataka od 201</w:t>
      </w:r>
      <w:r w:rsidR="00CC787C">
        <w:t>7</w:t>
      </w:r>
      <w:r>
        <w:t>.-20</w:t>
      </w:r>
      <w:r w:rsidR="00CC787C">
        <w:t>20</w:t>
      </w:r>
      <w:r>
        <w:t>. godine</w:t>
      </w:r>
    </w:p>
    <w:tbl>
      <w:tblPr>
        <w:tblW w:w="9771" w:type="dxa"/>
        <w:tblInd w:w="118" w:type="dxa"/>
        <w:tblLook w:val="04A0" w:firstRow="1" w:lastRow="0" w:firstColumn="1" w:lastColumn="0" w:noHBand="0" w:noVBand="1"/>
      </w:tblPr>
      <w:tblGrid>
        <w:gridCol w:w="672"/>
        <w:gridCol w:w="1068"/>
        <w:gridCol w:w="1240"/>
        <w:gridCol w:w="696"/>
        <w:gridCol w:w="1276"/>
        <w:gridCol w:w="708"/>
        <w:gridCol w:w="1276"/>
        <w:gridCol w:w="851"/>
        <w:gridCol w:w="1235"/>
        <w:gridCol w:w="749"/>
      </w:tblGrid>
      <w:tr w:rsidR="00CC787C" w:rsidRPr="00CC787C" w:rsidTr="00CC787C">
        <w:trPr>
          <w:trHeight w:val="300"/>
        </w:trPr>
        <w:tc>
          <w:tcPr>
            <w:tcW w:w="672"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Razred</w:t>
            </w:r>
          </w:p>
        </w:tc>
        <w:tc>
          <w:tcPr>
            <w:tcW w:w="1068"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rPr>
                <w:rFonts w:eastAsia="Times New Roman" w:cs="Calibri"/>
                <w:b/>
                <w:bCs/>
                <w:color w:val="000000"/>
                <w:sz w:val="16"/>
                <w:szCs w:val="16"/>
                <w:lang w:eastAsia="hr-HR"/>
              </w:rPr>
            </w:pPr>
            <w:r w:rsidRPr="00CC787C">
              <w:rPr>
                <w:rFonts w:eastAsia="Times New Roman" w:cs="Calibri"/>
                <w:b/>
                <w:bCs/>
                <w:color w:val="000000"/>
                <w:sz w:val="16"/>
                <w:szCs w:val="16"/>
                <w:lang w:eastAsia="hr-HR"/>
              </w:rPr>
              <w:t>A) Prihodi i primici</w:t>
            </w:r>
          </w:p>
        </w:tc>
        <w:tc>
          <w:tcPr>
            <w:tcW w:w="1936" w:type="dxa"/>
            <w:gridSpan w:val="2"/>
            <w:tcBorders>
              <w:top w:val="single" w:sz="8" w:space="0" w:color="auto"/>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2017.</w:t>
            </w:r>
          </w:p>
        </w:tc>
        <w:tc>
          <w:tcPr>
            <w:tcW w:w="1984" w:type="dxa"/>
            <w:gridSpan w:val="2"/>
            <w:tcBorders>
              <w:top w:val="single" w:sz="8" w:space="0" w:color="auto"/>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2018.</w:t>
            </w:r>
          </w:p>
        </w:tc>
        <w:tc>
          <w:tcPr>
            <w:tcW w:w="2127" w:type="dxa"/>
            <w:gridSpan w:val="2"/>
            <w:tcBorders>
              <w:top w:val="single" w:sz="8" w:space="0" w:color="auto"/>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2019.</w:t>
            </w:r>
          </w:p>
        </w:tc>
        <w:tc>
          <w:tcPr>
            <w:tcW w:w="1984" w:type="dxa"/>
            <w:gridSpan w:val="2"/>
            <w:tcBorders>
              <w:top w:val="single" w:sz="8" w:space="0" w:color="auto"/>
              <w:left w:val="nil"/>
              <w:bottom w:val="single" w:sz="4" w:space="0" w:color="auto"/>
              <w:right w:val="single" w:sz="8" w:space="0" w:color="000000"/>
            </w:tcBorders>
            <w:shd w:val="clear" w:color="000000" w:fill="BFBFBF"/>
            <w:noWrap/>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2020.</w:t>
            </w:r>
          </w:p>
        </w:tc>
      </w:tr>
      <w:tr w:rsidR="00CC787C" w:rsidRPr="00CC787C" w:rsidTr="00CC787C">
        <w:trPr>
          <w:trHeight w:val="300"/>
        </w:trPr>
        <w:tc>
          <w:tcPr>
            <w:tcW w:w="672" w:type="dxa"/>
            <w:vMerge/>
            <w:tcBorders>
              <w:top w:val="single" w:sz="8" w:space="0" w:color="auto"/>
              <w:left w:val="single" w:sz="8" w:space="0" w:color="auto"/>
              <w:bottom w:val="single" w:sz="4" w:space="0" w:color="auto"/>
              <w:right w:val="single" w:sz="4" w:space="0" w:color="auto"/>
            </w:tcBorders>
            <w:vAlign w:val="center"/>
            <w:hideMark/>
          </w:tcPr>
          <w:p w:rsidR="00CC787C" w:rsidRPr="00CC787C" w:rsidRDefault="00CC787C" w:rsidP="00CC787C">
            <w:pPr>
              <w:spacing w:after="0" w:line="240" w:lineRule="auto"/>
              <w:rPr>
                <w:rFonts w:eastAsia="Times New Roman" w:cs="Calibri"/>
                <w:b/>
                <w:bCs/>
                <w:color w:val="000000"/>
                <w:sz w:val="16"/>
                <w:szCs w:val="16"/>
                <w:lang w:eastAsia="hr-HR"/>
              </w:rPr>
            </w:pPr>
          </w:p>
        </w:tc>
        <w:tc>
          <w:tcPr>
            <w:tcW w:w="1068" w:type="dxa"/>
            <w:vMerge/>
            <w:tcBorders>
              <w:top w:val="single" w:sz="8" w:space="0" w:color="auto"/>
              <w:left w:val="single" w:sz="4" w:space="0" w:color="auto"/>
              <w:bottom w:val="single" w:sz="4" w:space="0" w:color="auto"/>
              <w:right w:val="single" w:sz="4" w:space="0" w:color="auto"/>
            </w:tcBorders>
            <w:vAlign w:val="center"/>
            <w:hideMark/>
          </w:tcPr>
          <w:p w:rsidR="00CC787C" w:rsidRPr="00CC787C" w:rsidRDefault="00CC787C" w:rsidP="00CC787C">
            <w:pPr>
              <w:spacing w:after="0" w:line="240" w:lineRule="auto"/>
              <w:rPr>
                <w:rFonts w:eastAsia="Times New Roman" w:cs="Calibri"/>
                <w:b/>
                <w:bCs/>
                <w:color w:val="000000"/>
                <w:sz w:val="16"/>
                <w:szCs w:val="16"/>
                <w:lang w:eastAsia="hr-HR"/>
              </w:rPr>
            </w:pPr>
          </w:p>
        </w:tc>
        <w:tc>
          <w:tcPr>
            <w:tcW w:w="1240"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2"/>
                <w:szCs w:val="12"/>
                <w:lang w:eastAsia="hr-HR"/>
              </w:rPr>
            </w:pPr>
            <w:r w:rsidRPr="00CC787C">
              <w:rPr>
                <w:rFonts w:eastAsia="Times New Roman" w:cs="Calibri"/>
                <w:b/>
                <w:bCs/>
                <w:color w:val="000000"/>
                <w:sz w:val="12"/>
                <w:szCs w:val="12"/>
                <w:lang w:eastAsia="hr-HR"/>
              </w:rPr>
              <w:t>Iznos</w:t>
            </w:r>
          </w:p>
        </w:tc>
        <w:tc>
          <w:tcPr>
            <w:tcW w:w="696"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2"/>
                <w:szCs w:val="12"/>
                <w:lang w:eastAsia="hr-HR"/>
              </w:rPr>
            </w:pPr>
            <w:r w:rsidRPr="00CC787C">
              <w:rPr>
                <w:rFonts w:eastAsia="Times New Roman" w:cs="Calibri"/>
                <w:b/>
                <w:bCs/>
                <w:color w:val="000000"/>
                <w:sz w:val="12"/>
                <w:szCs w:val="12"/>
                <w:lang w:eastAsia="hr-HR"/>
              </w:rPr>
              <w:t>Struktura</w:t>
            </w:r>
          </w:p>
        </w:tc>
        <w:tc>
          <w:tcPr>
            <w:tcW w:w="1276"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2"/>
                <w:szCs w:val="12"/>
                <w:lang w:eastAsia="hr-HR"/>
              </w:rPr>
            </w:pPr>
            <w:r w:rsidRPr="00CC787C">
              <w:rPr>
                <w:rFonts w:eastAsia="Times New Roman" w:cs="Calibri"/>
                <w:b/>
                <w:bCs/>
                <w:color w:val="000000"/>
                <w:sz w:val="12"/>
                <w:szCs w:val="12"/>
                <w:lang w:eastAsia="hr-HR"/>
              </w:rPr>
              <w:t>Iznos</w:t>
            </w:r>
          </w:p>
        </w:tc>
        <w:tc>
          <w:tcPr>
            <w:tcW w:w="708"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2"/>
                <w:szCs w:val="12"/>
                <w:lang w:eastAsia="hr-HR"/>
              </w:rPr>
            </w:pPr>
            <w:r w:rsidRPr="00CC787C">
              <w:rPr>
                <w:rFonts w:eastAsia="Times New Roman" w:cs="Calibri"/>
                <w:b/>
                <w:bCs/>
                <w:color w:val="000000"/>
                <w:sz w:val="12"/>
                <w:szCs w:val="12"/>
                <w:lang w:eastAsia="hr-HR"/>
              </w:rPr>
              <w:t>Struktura</w:t>
            </w:r>
          </w:p>
        </w:tc>
        <w:tc>
          <w:tcPr>
            <w:tcW w:w="1276"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2"/>
                <w:szCs w:val="12"/>
                <w:lang w:eastAsia="hr-HR"/>
              </w:rPr>
            </w:pPr>
            <w:r w:rsidRPr="00CC787C">
              <w:rPr>
                <w:rFonts w:eastAsia="Times New Roman" w:cs="Calibri"/>
                <w:b/>
                <w:bCs/>
                <w:color w:val="000000"/>
                <w:sz w:val="12"/>
                <w:szCs w:val="12"/>
                <w:lang w:eastAsia="hr-HR"/>
              </w:rPr>
              <w:t>Iznos</w:t>
            </w:r>
          </w:p>
        </w:tc>
        <w:tc>
          <w:tcPr>
            <w:tcW w:w="851"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2"/>
                <w:szCs w:val="12"/>
                <w:lang w:eastAsia="hr-HR"/>
              </w:rPr>
            </w:pPr>
            <w:r w:rsidRPr="00CC787C">
              <w:rPr>
                <w:rFonts w:eastAsia="Times New Roman" w:cs="Calibri"/>
                <w:b/>
                <w:bCs/>
                <w:color w:val="000000"/>
                <w:sz w:val="12"/>
                <w:szCs w:val="12"/>
                <w:lang w:eastAsia="hr-HR"/>
              </w:rPr>
              <w:t>Struktura</w:t>
            </w:r>
          </w:p>
        </w:tc>
        <w:tc>
          <w:tcPr>
            <w:tcW w:w="1235" w:type="dxa"/>
            <w:tcBorders>
              <w:top w:val="nil"/>
              <w:left w:val="nil"/>
              <w:bottom w:val="single" w:sz="4" w:space="0" w:color="auto"/>
              <w:right w:val="single" w:sz="4" w:space="0" w:color="auto"/>
            </w:tcBorders>
            <w:shd w:val="clear" w:color="000000" w:fill="BFBFBF"/>
            <w:noWrap/>
            <w:vAlign w:val="center"/>
            <w:hideMark/>
          </w:tcPr>
          <w:p w:rsidR="00CC787C" w:rsidRPr="00CC787C" w:rsidRDefault="00CC787C" w:rsidP="00CC787C">
            <w:pPr>
              <w:spacing w:after="0" w:line="240" w:lineRule="auto"/>
              <w:jc w:val="center"/>
              <w:rPr>
                <w:rFonts w:eastAsia="Times New Roman" w:cs="Calibri"/>
                <w:b/>
                <w:bCs/>
                <w:color w:val="000000"/>
                <w:sz w:val="12"/>
                <w:szCs w:val="12"/>
                <w:lang w:eastAsia="hr-HR"/>
              </w:rPr>
            </w:pPr>
            <w:r w:rsidRPr="00CC787C">
              <w:rPr>
                <w:rFonts w:eastAsia="Times New Roman" w:cs="Calibri"/>
                <w:b/>
                <w:bCs/>
                <w:color w:val="000000"/>
                <w:sz w:val="12"/>
                <w:szCs w:val="12"/>
                <w:lang w:eastAsia="hr-HR"/>
              </w:rPr>
              <w:t>Iznos</w:t>
            </w:r>
          </w:p>
        </w:tc>
        <w:tc>
          <w:tcPr>
            <w:tcW w:w="749" w:type="dxa"/>
            <w:tcBorders>
              <w:top w:val="nil"/>
              <w:left w:val="nil"/>
              <w:bottom w:val="single" w:sz="4" w:space="0" w:color="auto"/>
              <w:right w:val="single" w:sz="8" w:space="0" w:color="auto"/>
            </w:tcBorders>
            <w:shd w:val="clear" w:color="000000" w:fill="BFBFBF"/>
            <w:noWrap/>
            <w:vAlign w:val="center"/>
            <w:hideMark/>
          </w:tcPr>
          <w:p w:rsidR="00CC787C" w:rsidRPr="00CC787C" w:rsidRDefault="00CC787C" w:rsidP="00CC787C">
            <w:pPr>
              <w:spacing w:after="0" w:line="240" w:lineRule="auto"/>
              <w:jc w:val="center"/>
              <w:rPr>
                <w:rFonts w:eastAsia="Times New Roman" w:cs="Calibri"/>
                <w:b/>
                <w:bCs/>
                <w:color w:val="000000"/>
                <w:sz w:val="12"/>
                <w:szCs w:val="12"/>
                <w:lang w:eastAsia="hr-HR"/>
              </w:rPr>
            </w:pPr>
            <w:r w:rsidRPr="00CC787C">
              <w:rPr>
                <w:rFonts w:eastAsia="Times New Roman" w:cs="Calibri"/>
                <w:b/>
                <w:bCs/>
                <w:color w:val="000000"/>
                <w:sz w:val="12"/>
                <w:szCs w:val="12"/>
                <w:lang w:eastAsia="hr-HR"/>
              </w:rPr>
              <w:t>Struktura</w:t>
            </w:r>
          </w:p>
        </w:tc>
      </w:tr>
      <w:tr w:rsidR="00CC787C" w:rsidRPr="00CC787C" w:rsidTr="00CC787C">
        <w:trPr>
          <w:trHeight w:val="450"/>
        </w:trPr>
        <w:tc>
          <w:tcPr>
            <w:tcW w:w="672" w:type="dxa"/>
            <w:tcBorders>
              <w:top w:val="nil"/>
              <w:left w:val="single" w:sz="8" w:space="0" w:color="auto"/>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6</w:t>
            </w:r>
          </w:p>
        </w:tc>
        <w:tc>
          <w:tcPr>
            <w:tcW w:w="1068"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Prihodi poslovanja</w:t>
            </w:r>
          </w:p>
        </w:tc>
        <w:tc>
          <w:tcPr>
            <w:tcW w:w="1240"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108.626.116,00</w:t>
            </w:r>
          </w:p>
        </w:tc>
        <w:tc>
          <w:tcPr>
            <w:tcW w:w="696"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99,87</w:t>
            </w:r>
          </w:p>
        </w:tc>
        <w:tc>
          <w:tcPr>
            <w:tcW w:w="1276"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115.836.782,00</w:t>
            </w:r>
          </w:p>
        </w:tc>
        <w:tc>
          <w:tcPr>
            <w:tcW w:w="708"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99,91</w:t>
            </w:r>
          </w:p>
        </w:tc>
        <w:tc>
          <w:tcPr>
            <w:tcW w:w="1276"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117.153.472,00</w:t>
            </w:r>
          </w:p>
        </w:tc>
        <w:tc>
          <w:tcPr>
            <w:tcW w:w="851"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99,91</w:t>
            </w:r>
          </w:p>
        </w:tc>
        <w:tc>
          <w:tcPr>
            <w:tcW w:w="1235" w:type="dxa"/>
            <w:tcBorders>
              <w:top w:val="nil"/>
              <w:left w:val="nil"/>
              <w:bottom w:val="single" w:sz="4" w:space="0" w:color="auto"/>
              <w:right w:val="single" w:sz="4"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99.681.096,00</w:t>
            </w:r>
          </w:p>
        </w:tc>
        <w:tc>
          <w:tcPr>
            <w:tcW w:w="749" w:type="dxa"/>
            <w:tcBorders>
              <w:top w:val="nil"/>
              <w:left w:val="nil"/>
              <w:bottom w:val="single" w:sz="4"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65,06</w:t>
            </w:r>
          </w:p>
        </w:tc>
      </w:tr>
      <w:tr w:rsidR="00CC787C" w:rsidRPr="00CC787C" w:rsidTr="00CC787C">
        <w:trPr>
          <w:trHeight w:val="675"/>
        </w:trPr>
        <w:tc>
          <w:tcPr>
            <w:tcW w:w="672" w:type="dxa"/>
            <w:tcBorders>
              <w:top w:val="nil"/>
              <w:left w:val="single" w:sz="8" w:space="0" w:color="auto"/>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7</w:t>
            </w:r>
          </w:p>
        </w:tc>
        <w:tc>
          <w:tcPr>
            <w:tcW w:w="1068"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Prihodi od nefinancijske imovine</w:t>
            </w:r>
          </w:p>
        </w:tc>
        <w:tc>
          <w:tcPr>
            <w:tcW w:w="1240"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145.045,00</w:t>
            </w:r>
          </w:p>
        </w:tc>
        <w:tc>
          <w:tcPr>
            <w:tcW w:w="696"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0,13</w:t>
            </w:r>
          </w:p>
        </w:tc>
        <w:tc>
          <w:tcPr>
            <w:tcW w:w="1276"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108.844,00</w:t>
            </w:r>
          </w:p>
        </w:tc>
        <w:tc>
          <w:tcPr>
            <w:tcW w:w="708"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0,09</w:t>
            </w:r>
          </w:p>
        </w:tc>
        <w:tc>
          <w:tcPr>
            <w:tcW w:w="1276"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133.368,00</w:t>
            </w:r>
          </w:p>
        </w:tc>
        <w:tc>
          <w:tcPr>
            <w:tcW w:w="851"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Pr>
                <w:rFonts w:eastAsia="Times New Roman" w:cs="Calibri"/>
                <w:color w:val="000000"/>
                <w:sz w:val="16"/>
                <w:szCs w:val="16"/>
                <w:lang w:eastAsia="hr-HR"/>
              </w:rPr>
              <w:t>0,11</w:t>
            </w:r>
          </w:p>
        </w:tc>
        <w:tc>
          <w:tcPr>
            <w:tcW w:w="1235" w:type="dxa"/>
            <w:tcBorders>
              <w:top w:val="nil"/>
              <w:left w:val="nil"/>
              <w:bottom w:val="single" w:sz="4" w:space="0" w:color="auto"/>
              <w:right w:val="single" w:sz="4"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82.987,00</w:t>
            </w:r>
          </w:p>
        </w:tc>
        <w:tc>
          <w:tcPr>
            <w:tcW w:w="749" w:type="dxa"/>
            <w:tcBorders>
              <w:top w:val="nil"/>
              <w:left w:val="nil"/>
              <w:bottom w:val="single" w:sz="4"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0,05</w:t>
            </w:r>
          </w:p>
        </w:tc>
      </w:tr>
      <w:tr w:rsidR="00CC787C" w:rsidRPr="00CC787C" w:rsidTr="00CC787C">
        <w:trPr>
          <w:trHeight w:val="450"/>
        </w:trPr>
        <w:tc>
          <w:tcPr>
            <w:tcW w:w="672" w:type="dxa"/>
            <w:tcBorders>
              <w:top w:val="nil"/>
              <w:left w:val="single" w:sz="8" w:space="0" w:color="auto"/>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7</w:t>
            </w:r>
          </w:p>
        </w:tc>
        <w:tc>
          <w:tcPr>
            <w:tcW w:w="1068"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Primici i izdaci</w:t>
            </w:r>
          </w:p>
        </w:tc>
        <w:tc>
          <w:tcPr>
            <w:tcW w:w="1240"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0,00</w:t>
            </w:r>
          </w:p>
        </w:tc>
        <w:tc>
          <w:tcPr>
            <w:tcW w:w="696"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0,00</w:t>
            </w:r>
          </w:p>
        </w:tc>
        <w:tc>
          <w:tcPr>
            <w:tcW w:w="1276"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0,00</w:t>
            </w:r>
          </w:p>
        </w:tc>
        <w:tc>
          <w:tcPr>
            <w:tcW w:w="708"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0,00</w:t>
            </w:r>
          </w:p>
        </w:tc>
        <w:tc>
          <w:tcPr>
            <w:tcW w:w="1276"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0,00</w:t>
            </w:r>
          </w:p>
        </w:tc>
        <w:tc>
          <w:tcPr>
            <w:tcW w:w="851" w:type="dxa"/>
            <w:tcBorders>
              <w:top w:val="nil"/>
              <w:left w:val="nil"/>
              <w:bottom w:val="single" w:sz="4" w:space="0" w:color="auto"/>
              <w:right w:val="single" w:sz="4" w:space="0" w:color="auto"/>
            </w:tcBorders>
            <w:shd w:val="clear" w:color="000000" w:fill="FFFFF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0,09</w:t>
            </w:r>
          </w:p>
        </w:tc>
        <w:tc>
          <w:tcPr>
            <w:tcW w:w="1235" w:type="dxa"/>
            <w:tcBorders>
              <w:top w:val="nil"/>
              <w:left w:val="nil"/>
              <w:bottom w:val="single" w:sz="4" w:space="0" w:color="auto"/>
              <w:right w:val="single" w:sz="4"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53.459.941,00</w:t>
            </w:r>
          </w:p>
        </w:tc>
        <w:tc>
          <w:tcPr>
            <w:tcW w:w="749" w:type="dxa"/>
            <w:tcBorders>
              <w:top w:val="nil"/>
              <w:left w:val="nil"/>
              <w:bottom w:val="single" w:sz="4"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34,89</w:t>
            </w:r>
          </w:p>
        </w:tc>
      </w:tr>
      <w:tr w:rsidR="00CC787C" w:rsidRPr="00CC787C" w:rsidTr="00CC787C">
        <w:trPr>
          <w:trHeight w:val="315"/>
        </w:trPr>
        <w:tc>
          <w:tcPr>
            <w:tcW w:w="1740" w:type="dxa"/>
            <w:gridSpan w:val="2"/>
            <w:tcBorders>
              <w:top w:val="single" w:sz="4" w:space="0" w:color="auto"/>
              <w:left w:val="single" w:sz="8" w:space="0" w:color="auto"/>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Ukupni prihodi</w:t>
            </w:r>
          </w:p>
        </w:tc>
        <w:tc>
          <w:tcPr>
            <w:tcW w:w="1240"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108.771.161,00</w:t>
            </w:r>
          </w:p>
        </w:tc>
        <w:tc>
          <w:tcPr>
            <w:tcW w:w="696"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100</w:t>
            </w:r>
          </w:p>
        </w:tc>
        <w:tc>
          <w:tcPr>
            <w:tcW w:w="1276"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115.945.626,00</w:t>
            </w:r>
          </w:p>
        </w:tc>
        <w:tc>
          <w:tcPr>
            <w:tcW w:w="708"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100</w:t>
            </w:r>
          </w:p>
        </w:tc>
        <w:tc>
          <w:tcPr>
            <w:tcW w:w="1276"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117.286.840,00</w:t>
            </w:r>
          </w:p>
        </w:tc>
        <w:tc>
          <w:tcPr>
            <w:tcW w:w="851"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100</w:t>
            </w:r>
          </w:p>
        </w:tc>
        <w:tc>
          <w:tcPr>
            <w:tcW w:w="1235" w:type="dxa"/>
            <w:tcBorders>
              <w:top w:val="nil"/>
              <w:left w:val="nil"/>
              <w:bottom w:val="single" w:sz="8" w:space="0" w:color="auto"/>
              <w:right w:val="single" w:sz="4" w:space="0" w:color="auto"/>
            </w:tcBorders>
            <w:shd w:val="clear" w:color="000000" w:fill="BFBFBF"/>
            <w:noWrap/>
            <w:vAlign w:val="bottom"/>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153.224.024,00</w:t>
            </w:r>
          </w:p>
        </w:tc>
        <w:tc>
          <w:tcPr>
            <w:tcW w:w="749" w:type="dxa"/>
            <w:tcBorders>
              <w:top w:val="nil"/>
              <w:left w:val="nil"/>
              <w:bottom w:val="single" w:sz="8" w:space="0" w:color="auto"/>
              <w:right w:val="single" w:sz="8" w:space="0" w:color="auto"/>
            </w:tcBorders>
            <w:shd w:val="clear" w:color="000000" w:fill="BFBFBF"/>
            <w:noWrap/>
            <w:vAlign w:val="bottom"/>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100,00</w:t>
            </w:r>
          </w:p>
        </w:tc>
      </w:tr>
      <w:tr w:rsidR="00CC787C" w:rsidRPr="00CC787C" w:rsidTr="00CC787C">
        <w:trPr>
          <w:trHeight w:val="450"/>
        </w:trPr>
        <w:tc>
          <w:tcPr>
            <w:tcW w:w="672" w:type="dxa"/>
            <w:tcBorders>
              <w:top w:val="nil"/>
              <w:left w:val="single" w:sz="8" w:space="0" w:color="auto"/>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Razred</w:t>
            </w:r>
          </w:p>
        </w:tc>
        <w:tc>
          <w:tcPr>
            <w:tcW w:w="1068"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rPr>
                <w:rFonts w:eastAsia="Times New Roman" w:cs="Calibri"/>
                <w:b/>
                <w:bCs/>
                <w:color w:val="000000"/>
                <w:sz w:val="16"/>
                <w:szCs w:val="16"/>
                <w:lang w:eastAsia="hr-HR"/>
              </w:rPr>
            </w:pPr>
            <w:r w:rsidRPr="00CC787C">
              <w:rPr>
                <w:rFonts w:eastAsia="Times New Roman" w:cs="Calibri"/>
                <w:b/>
                <w:bCs/>
                <w:color w:val="000000"/>
                <w:sz w:val="16"/>
                <w:szCs w:val="16"/>
                <w:lang w:eastAsia="hr-HR"/>
              </w:rPr>
              <w:t>B) Rashodi i izdaci</w:t>
            </w:r>
          </w:p>
        </w:tc>
        <w:tc>
          <w:tcPr>
            <w:tcW w:w="1240"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Iznos</w:t>
            </w:r>
          </w:p>
        </w:tc>
        <w:tc>
          <w:tcPr>
            <w:tcW w:w="696"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w:t>
            </w:r>
          </w:p>
        </w:tc>
        <w:tc>
          <w:tcPr>
            <w:tcW w:w="1276"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Iznos</w:t>
            </w:r>
          </w:p>
        </w:tc>
        <w:tc>
          <w:tcPr>
            <w:tcW w:w="708"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w:t>
            </w:r>
          </w:p>
        </w:tc>
        <w:tc>
          <w:tcPr>
            <w:tcW w:w="1276"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Iznos</w:t>
            </w:r>
          </w:p>
        </w:tc>
        <w:tc>
          <w:tcPr>
            <w:tcW w:w="851" w:type="dxa"/>
            <w:tcBorders>
              <w:top w:val="nil"/>
              <w:left w:val="nil"/>
              <w:bottom w:val="single" w:sz="4" w:space="0" w:color="auto"/>
              <w:right w:val="single" w:sz="4" w:space="0" w:color="auto"/>
            </w:tcBorders>
            <w:shd w:val="clear" w:color="000000" w:fill="D9D9D9"/>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w:t>
            </w:r>
          </w:p>
        </w:tc>
        <w:tc>
          <w:tcPr>
            <w:tcW w:w="1235" w:type="dxa"/>
            <w:tcBorders>
              <w:top w:val="nil"/>
              <w:left w:val="nil"/>
              <w:bottom w:val="single" w:sz="4" w:space="0" w:color="auto"/>
              <w:right w:val="single" w:sz="4" w:space="0" w:color="auto"/>
            </w:tcBorders>
            <w:shd w:val="clear" w:color="000000" w:fill="BFBFBF"/>
            <w:noWrap/>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Iznos</w:t>
            </w:r>
          </w:p>
        </w:tc>
        <w:tc>
          <w:tcPr>
            <w:tcW w:w="749" w:type="dxa"/>
            <w:tcBorders>
              <w:top w:val="nil"/>
              <w:left w:val="nil"/>
              <w:bottom w:val="single" w:sz="4" w:space="0" w:color="auto"/>
              <w:right w:val="single" w:sz="8" w:space="0" w:color="auto"/>
            </w:tcBorders>
            <w:shd w:val="clear" w:color="000000" w:fill="BFBFBF"/>
            <w:noWrap/>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w:t>
            </w:r>
          </w:p>
        </w:tc>
      </w:tr>
      <w:tr w:rsidR="00CC787C" w:rsidRPr="00CC787C" w:rsidTr="00CC787C">
        <w:trPr>
          <w:trHeight w:val="450"/>
        </w:trPr>
        <w:tc>
          <w:tcPr>
            <w:tcW w:w="672" w:type="dxa"/>
            <w:tcBorders>
              <w:top w:val="nil"/>
              <w:left w:val="single" w:sz="8" w:space="0" w:color="auto"/>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3</w:t>
            </w:r>
          </w:p>
        </w:tc>
        <w:tc>
          <w:tcPr>
            <w:tcW w:w="1068"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Rashodi poslovanja</w:t>
            </w:r>
          </w:p>
        </w:tc>
        <w:tc>
          <w:tcPr>
            <w:tcW w:w="1240"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100.841.934</w:t>
            </w:r>
          </w:p>
        </w:tc>
        <w:tc>
          <w:tcPr>
            <w:tcW w:w="696"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94,07</w:t>
            </w:r>
          </w:p>
        </w:tc>
        <w:tc>
          <w:tcPr>
            <w:tcW w:w="1276"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103.244.195</w:t>
            </w:r>
          </w:p>
        </w:tc>
        <w:tc>
          <w:tcPr>
            <w:tcW w:w="708"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91,95</w:t>
            </w:r>
          </w:p>
        </w:tc>
        <w:tc>
          <w:tcPr>
            <w:tcW w:w="1276"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109.557.425</w:t>
            </w:r>
          </w:p>
        </w:tc>
        <w:tc>
          <w:tcPr>
            <w:tcW w:w="851"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78,82</w:t>
            </w:r>
          </w:p>
        </w:tc>
        <w:tc>
          <w:tcPr>
            <w:tcW w:w="1235" w:type="dxa"/>
            <w:tcBorders>
              <w:top w:val="nil"/>
              <w:left w:val="nil"/>
              <w:bottom w:val="single" w:sz="4" w:space="0" w:color="auto"/>
              <w:right w:val="single" w:sz="4"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101.408.685,00</w:t>
            </w:r>
          </w:p>
        </w:tc>
        <w:tc>
          <w:tcPr>
            <w:tcW w:w="749" w:type="dxa"/>
            <w:tcBorders>
              <w:top w:val="nil"/>
              <w:left w:val="nil"/>
              <w:bottom w:val="single" w:sz="4"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46,44</w:t>
            </w:r>
          </w:p>
        </w:tc>
      </w:tr>
      <w:tr w:rsidR="00CC787C" w:rsidRPr="00CC787C" w:rsidTr="00CC787C">
        <w:trPr>
          <w:trHeight w:val="900"/>
        </w:trPr>
        <w:tc>
          <w:tcPr>
            <w:tcW w:w="672" w:type="dxa"/>
            <w:tcBorders>
              <w:top w:val="nil"/>
              <w:left w:val="single" w:sz="8" w:space="0" w:color="auto"/>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4</w:t>
            </w:r>
          </w:p>
        </w:tc>
        <w:tc>
          <w:tcPr>
            <w:tcW w:w="1068"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Rashodi za nabavu nefinancijske imovine</w:t>
            </w:r>
          </w:p>
        </w:tc>
        <w:tc>
          <w:tcPr>
            <w:tcW w:w="1240"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4.722.303</w:t>
            </w:r>
          </w:p>
        </w:tc>
        <w:tc>
          <w:tcPr>
            <w:tcW w:w="696"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4,41</w:t>
            </w:r>
          </w:p>
        </w:tc>
        <w:tc>
          <w:tcPr>
            <w:tcW w:w="1276"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7.411.192</w:t>
            </w:r>
          </w:p>
        </w:tc>
        <w:tc>
          <w:tcPr>
            <w:tcW w:w="708"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6,60</w:t>
            </w:r>
          </w:p>
        </w:tc>
        <w:tc>
          <w:tcPr>
            <w:tcW w:w="1276"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28.508.233</w:t>
            </w:r>
          </w:p>
        </w:tc>
        <w:tc>
          <w:tcPr>
            <w:tcW w:w="851"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20,51</w:t>
            </w:r>
          </w:p>
        </w:tc>
        <w:tc>
          <w:tcPr>
            <w:tcW w:w="1235" w:type="dxa"/>
            <w:tcBorders>
              <w:top w:val="nil"/>
              <w:left w:val="nil"/>
              <w:bottom w:val="single" w:sz="4" w:space="0" w:color="auto"/>
              <w:right w:val="single" w:sz="4"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116.959.720,00</w:t>
            </w:r>
          </w:p>
        </w:tc>
        <w:tc>
          <w:tcPr>
            <w:tcW w:w="749" w:type="dxa"/>
            <w:tcBorders>
              <w:top w:val="nil"/>
              <w:left w:val="nil"/>
              <w:bottom w:val="single" w:sz="4"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53,56</w:t>
            </w:r>
          </w:p>
        </w:tc>
      </w:tr>
      <w:tr w:rsidR="00CC787C" w:rsidRPr="00CC787C" w:rsidTr="00CC787C">
        <w:trPr>
          <w:trHeight w:val="1125"/>
        </w:trPr>
        <w:tc>
          <w:tcPr>
            <w:tcW w:w="672" w:type="dxa"/>
            <w:tcBorders>
              <w:top w:val="nil"/>
              <w:left w:val="single" w:sz="8" w:space="0" w:color="auto"/>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5</w:t>
            </w:r>
          </w:p>
        </w:tc>
        <w:tc>
          <w:tcPr>
            <w:tcW w:w="1068"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Izdaci za financijsku imovinu i otplatu zajmova</w:t>
            </w:r>
          </w:p>
        </w:tc>
        <w:tc>
          <w:tcPr>
            <w:tcW w:w="1240"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1.633.333</w:t>
            </w:r>
          </w:p>
        </w:tc>
        <w:tc>
          <w:tcPr>
            <w:tcW w:w="696"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1,52</w:t>
            </w:r>
          </w:p>
        </w:tc>
        <w:tc>
          <w:tcPr>
            <w:tcW w:w="1276"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1.633.333</w:t>
            </w:r>
          </w:p>
        </w:tc>
        <w:tc>
          <w:tcPr>
            <w:tcW w:w="708"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1,45</w:t>
            </w:r>
          </w:p>
        </w:tc>
        <w:tc>
          <w:tcPr>
            <w:tcW w:w="1276"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933.238</w:t>
            </w:r>
          </w:p>
        </w:tc>
        <w:tc>
          <w:tcPr>
            <w:tcW w:w="851" w:type="dxa"/>
            <w:tcBorders>
              <w:top w:val="nil"/>
              <w:left w:val="nil"/>
              <w:bottom w:val="single" w:sz="4" w:space="0" w:color="auto"/>
              <w:right w:val="single" w:sz="4" w:space="0" w:color="auto"/>
            </w:tcBorders>
            <w:shd w:val="clear" w:color="auto" w:fill="auto"/>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0,67</w:t>
            </w:r>
          </w:p>
        </w:tc>
        <w:tc>
          <w:tcPr>
            <w:tcW w:w="1235" w:type="dxa"/>
            <w:tcBorders>
              <w:top w:val="nil"/>
              <w:left w:val="nil"/>
              <w:bottom w:val="single" w:sz="4" w:space="0" w:color="auto"/>
              <w:right w:val="single" w:sz="4"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0,00</w:t>
            </w:r>
          </w:p>
        </w:tc>
        <w:tc>
          <w:tcPr>
            <w:tcW w:w="749" w:type="dxa"/>
            <w:tcBorders>
              <w:top w:val="nil"/>
              <w:left w:val="nil"/>
              <w:bottom w:val="single" w:sz="4"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0,00</w:t>
            </w:r>
          </w:p>
        </w:tc>
      </w:tr>
      <w:tr w:rsidR="00CC787C" w:rsidRPr="00CC787C" w:rsidTr="00CC787C">
        <w:trPr>
          <w:trHeight w:val="315"/>
        </w:trPr>
        <w:tc>
          <w:tcPr>
            <w:tcW w:w="1740" w:type="dxa"/>
            <w:gridSpan w:val="2"/>
            <w:tcBorders>
              <w:top w:val="single" w:sz="4" w:space="0" w:color="auto"/>
              <w:left w:val="single" w:sz="8" w:space="0" w:color="auto"/>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center"/>
              <w:rPr>
                <w:rFonts w:eastAsia="Times New Roman" w:cs="Calibri"/>
                <w:b/>
                <w:bCs/>
                <w:color w:val="000000"/>
                <w:sz w:val="16"/>
                <w:szCs w:val="16"/>
                <w:lang w:eastAsia="hr-HR"/>
              </w:rPr>
            </w:pPr>
            <w:r w:rsidRPr="00CC787C">
              <w:rPr>
                <w:rFonts w:eastAsia="Times New Roman" w:cs="Calibri"/>
                <w:b/>
                <w:bCs/>
                <w:color w:val="000000"/>
                <w:sz w:val="16"/>
                <w:szCs w:val="16"/>
                <w:lang w:eastAsia="hr-HR"/>
              </w:rPr>
              <w:t>Ukupni rashodi</w:t>
            </w:r>
          </w:p>
        </w:tc>
        <w:tc>
          <w:tcPr>
            <w:tcW w:w="1240"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107.197.570</w:t>
            </w:r>
          </w:p>
        </w:tc>
        <w:tc>
          <w:tcPr>
            <w:tcW w:w="696"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100</w:t>
            </w:r>
          </w:p>
        </w:tc>
        <w:tc>
          <w:tcPr>
            <w:tcW w:w="1276"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112.288.720</w:t>
            </w:r>
          </w:p>
        </w:tc>
        <w:tc>
          <w:tcPr>
            <w:tcW w:w="708"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100</w:t>
            </w:r>
          </w:p>
        </w:tc>
        <w:tc>
          <w:tcPr>
            <w:tcW w:w="1276"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138.998.896</w:t>
            </w:r>
          </w:p>
        </w:tc>
        <w:tc>
          <w:tcPr>
            <w:tcW w:w="851" w:type="dxa"/>
            <w:tcBorders>
              <w:top w:val="nil"/>
              <w:left w:val="nil"/>
              <w:bottom w:val="single" w:sz="8" w:space="0" w:color="auto"/>
              <w:right w:val="single" w:sz="4" w:space="0" w:color="auto"/>
            </w:tcBorders>
            <w:shd w:val="clear" w:color="000000" w:fill="BFBFBF"/>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100</w:t>
            </w:r>
          </w:p>
        </w:tc>
        <w:tc>
          <w:tcPr>
            <w:tcW w:w="1235" w:type="dxa"/>
            <w:tcBorders>
              <w:top w:val="nil"/>
              <w:left w:val="nil"/>
              <w:bottom w:val="single" w:sz="8" w:space="0" w:color="auto"/>
              <w:right w:val="single" w:sz="4" w:space="0" w:color="auto"/>
            </w:tcBorders>
            <w:shd w:val="clear" w:color="000000" w:fill="BFBFBF"/>
            <w:noWrap/>
            <w:vAlign w:val="bottom"/>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218.368.405,00</w:t>
            </w:r>
          </w:p>
        </w:tc>
        <w:tc>
          <w:tcPr>
            <w:tcW w:w="749" w:type="dxa"/>
            <w:tcBorders>
              <w:top w:val="nil"/>
              <w:left w:val="nil"/>
              <w:bottom w:val="single" w:sz="8" w:space="0" w:color="auto"/>
              <w:right w:val="single" w:sz="8" w:space="0" w:color="auto"/>
            </w:tcBorders>
            <w:shd w:val="clear" w:color="000000" w:fill="BFBFBF"/>
            <w:noWrap/>
            <w:vAlign w:val="bottom"/>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100,00</w:t>
            </w:r>
          </w:p>
        </w:tc>
      </w:tr>
      <w:tr w:rsidR="00CC787C" w:rsidRPr="00CC787C" w:rsidTr="00CC787C">
        <w:trPr>
          <w:trHeight w:val="450"/>
        </w:trPr>
        <w:tc>
          <w:tcPr>
            <w:tcW w:w="1740" w:type="dxa"/>
            <w:gridSpan w:val="2"/>
            <w:tcBorders>
              <w:top w:val="nil"/>
              <w:left w:val="single" w:sz="8" w:space="0" w:color="auto"/>
              <w:bottom w:val="single" w:sz="8" w:space="0" w:color="auto"/>
              <w:right w:val="single" w:sz="4" w:space="0" w:color="auto"/>
            </w:tcBorders>
            <w:shd w:val="clear" w:color="000000" w:fill="B8CCE4"/>
            <w:vAlign w:val="center"/>
            <w:hideMark/>
          </w:tcPr>
          <w:p w:rsidR="00CC787C" w:rsidRPr="00CC787C" w:rsidRDefault="00CC787C" w:rsidP="00CC787C">
            <w:pPr>
              <w:spacing w:after="0" w:line="240" w:lineRule="auto"/>
              <w:rPr>
                <w:rFonts w:eastAsia="Times New Roman" w:cs="Calibri"/>
                <w:b/>
                <w:bCs/>
                <w:color w:val="000000"/>
                <w:sz w:val="16"/>
                <w:szCs w:val="16"/>
                <w:lang w:eastAsia="hr-HR"/>
              </w:rPr>
            </w:pPr>
            <w:r w:rsidRPr="00CC787C">
              <w:rPr>
                <w:rFonts w:eastAsia="Times New Roman" w:cs="Calibri"/>
                <w:b/>
                <w:bCs/>
                <w:color w:val="000000"/>
                <w:sz w:val="16"/>
                <w:szCs w:val="16"/>
                <w:lang w:eastAsia="hr-HR"/>
              </w:rPr>
              <w:t>Višak/manjak prihoda nad rashodima i izdacima</w:t>
            </w:r>
          </w:p>
        </w:tc>
        <w:tc>
          <w:tcPr>
            <w:tcW w:w="1240" w:type="dxa"/>
            <w:tcBorders>
              <w:top w:val="nil"/>
              <w:left w:val="nil"/>
              <w:bottom w:val="single" w:sz="8" w:space="0" w:color="auto"/>
              <w:right w:val="single" w:sz="4" w:space="0" w:color="auto"/>
            </w:tcBorders>
            <w:shd w:val="clear" w:color="000000" w:fill="B8CCE4"/>
            <w:noWrap/>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1.573.591,00</w:t>
            </w:r>
          </w:p>
        </w:tc>
        <w:tc>
          <w:tcPr>
            <w:tcW w:w="696" w:type="dxa"/>
            <w:tcBorders>
              <w:top w:val="nil"/>
              <w:left w:val="nil"/>
              <w:bottom w:val="single" w:sz="8" w:space="0" w:color="auto"/>
              <w:right w:val="single" w:sz="4" w:space="0" w:color="auto"/>
            </w:tcBorders>
            <w:shd w:val="clear" w:color="000000" w:fill="B8CCE4"/>
            <w:noWrap/>
            <w:vAlign w:val="center"/>
            <w:hideMark/>
          </w:tcPr>
          <w:p w:rsidR="00CC787C" w:rsidRPr="00CC787C" w:rsidRDefault="00CC787C" w:rsidP="00CC787C">
            <w:pPr>
              <w:spacing w:after="0" w:line="240" w:lineRule="auto"/>
              <w:rPr>
                <w:rFonts w:eastAsia="Times New Roman" w:cs="Calibri"/>
                <w:b/>
                <w:bCs/>
                <w:color w:val="000000"/>
                <w:sz w:val="16"/>
                <w:szCs w:val="16"/>
                <w:lang w:eastAsia="hr-HR"/>
              </w:rPr>
            </w:pPr>
            <w:r w:rsidRPr="00CC787C">
              <w:rPr>
                <w:rFonts w:eastAsia="Times New Roman" w:cs="Calibri"/>
                <w:b/>
                <w:bCs/>
                <w:color w:val="000000"/>
                <w:sz w:val="16"/>
                <w:szCs w:val="16"/>
                <w:lang w:eastAsia="hr-HR"/>
              </w:rPr>
              <w:t> </w:t>
            </w:r>
          </w:p>
        </w:tc>
        <w:tc>
          <w:tcPr>
            <w:tcW w:w="1276" w:type="dxa"/>
            <w:tcBorders>
              <w:top w:val="nil"/>
              <w:left w:val="nil"/>
              <w:bottom w:val="single" w:sz="8" w:space="0" w:color="auto"/>
              <w:right w:val="single" w:sz="4" w:space="0" w:color="auto"/>
            </w:tcBorders>
            <w:shd w:val="clear" w:color="000000" w:fill="B8CCE4"/>
            <w:noWrap/>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3.656.906,00</w:t>
            </w:r>
          </w:p>
        </w:tc>
        <w:tc>
          <w:tcPr>
            <w:tcW w:w="708" w:type="dxa"/>
            <w:tcBorders>
              <w:top w:val="nil"/>
              <w:left w:val="nil"/>
              <w:bottom w:val="single" w:sz="8" w:space="0" w:color="auto"/>
              <w:right w:val="single" w:sz="4" w:space="0" w:color="auto"/>
            </w:tcBorders>
            <w:shd w:val="clear" w:color="000000" w:fill="B8CCE4"/>
            <w:noWrap/>
            <w:vAlign w:val="center"/>
            <w:hideMark/>
          </w:tcPr>
          <w:p w:rsidR="00CC787C" w:rsidRPr="00CC787C" w:rsidRDefault="00CC787C" w:rsidP="00CC787C">
            <w:pPr>
              <w:spacing w:after="0" w:line="240" w:lineRule="auto"/>
              <w:rPr>
                <w:rFonts w:eastAsia="Times New Roman" w:cs="Calibri"/>
                <w:b/>
                <w:bCs/>
                <w:color w:val="000000"/>
                <w:sz w:val="16"/>
                <w:szCs w:val="16"/>
                <w:lang w:eastAsia="hr-HR"/>
              </w:rPr>
            </w:pPr>
            <w:r w:rsidRPr="00CC787C">
              <w:rPr>
                <w:rFonts w:eastAsia="Times New Roman" w:cs="Calibri"/>
                <w:b/>
                <w:bCs/>
                <w:color w:val="000000"/>
                <w:sz w:val="16"/>
                <w:szCs w:val="16"/>
                <w:lang w:eastAsia="hr-HR"/>
              </w:rPr>
              <w:t> </w:t>
            </w:r>
          </w:p>
        </w:tc>
        <w:tc>
          <w:tcPr>
            <w:tcW w:w="1276" w:type="dxa"/>
            <w:tcBorders>
              <w:top w:val="nil"/>
              <w:left w:val="nil"/>
              <w:bottom w:val="single" w:sz="8" w:space="0" w:color="auto"/>
              <w:right w:val="single" w:sz="4" w:space="0" w:color="auto"/>
            </w:tcBorders>
            <w:shd w:val="clear" w:color="000000" w:fill="B8CCE4"/>
            <w:noWrap/>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-21.712.056,00</w:t>
            </w:r>
          </w:p>
        </w:tc>
        <w:tc>
          <w:tcPr>
            <w:tcW w:w="851" w:type="dxa"/>
            <w:tcBorders>
              <w:top w:val="nil"/>
              <w:left w:val="nil"/>
              <w:bottom w:val="single" w:sz="8" w:space="0" w:color="auto"/>
              <w:right w:val="single" w:sz="4" w:space="0" w:color="auto"/>
            </w:tcBorders>
            <w:shd w:val="clear" w:color="000000" w:fill="B8CCE4"/>
            <w:noWrap/>
            <w:vAlign w:val="center"/>
            <w:hideMark/>
          </w:tcPr>
          <w:p w:rsidR="00CC787C" w:rsidRPr="00CC787C" w:rsidRDefault="00CC787C" w:rsidP="00CC787C">
            <w:pPr>
              <w:spacing w:after="0" w:line="240" w:lineRule="auto"/>
              <w:rPr>
                <w:rFonts w:eastAsia="Times New Roman" w:cs="Calibri"/>
                <w:b/>
                <w:bCs/>
                <w:color w:val="000000"/>
                <w:sz w:val="16"/>
                <w:szCs w:val="16"/>
                <w:lang w:eastAsia="hr-HR"/>
              </w:rPr>
            </w:pPr>
            <w:r w:rsidRPr="00CC787C">
              <w:rPr>
                <w:rFonts w:eastAsia="Times New Roman" w:cs="Calibri"/>
                <w:b/>
                <w:bCs/>
                <w:color w:val="000000"/>
                <w:sz w:val="16"/>
                <w:szCs w:val="16"/>
                <w:lang w:eastAsia="hr-HR"/>
              </w:rPr>
              <w:t> </w:t>
            </w:r>
          </w:p>
        </w:tc>
        <w:tc>
          <w:tcPr>
            <w:tcW w:w="1235" w:type="dxa"/>
            <w:tcBorders>
              <w:top w:val="nil"/>
              <w:left w:val="nil"/>
              <w:bottom w:val="single" w:sz="8" w:space="0" w:color="auto"/>
              <w:right w:val="single" w:sz="4" w:space="0" w:color="auto"/>
            </w:tcBorders>
            <w:shd w:val="clear" w:color="000000" w:fill="B8CCE4"/>
            <w:noWrap/>
            <w:vAlign w:val="center"/>
            <w:hideMark/>
          </w:tcPr>
          <w:p w:rsidR="00CC787C" w:rsidRPr="00CC787C" w:rsidRDefault="00CC787C" w:rsidP="00CC787C">
            <w:pPr>
              <w:spacing w:after="0" w:line="240" w:lineRule="auto"/>
              <w:jc w:val="right"/>
              <w:rPr>
                <w:rFonts w:eastAsia="Times New Roman" w:cs="Calibri"/>
                <w:b/>
                <w:bCs/>
                <w:color w:val="000000"/>
                <w:sz w:val="16"/>
                <w:szCs w:val="16"/>
                <w:lang w:eastAsia="hr-HR"/>
              </w:rPr>
            </w:pPr>
            <w:r w:rsidRPr="00CC787C">
              <w:rPr>
                <w:rFonts w:eastAsia="Times New Roman" w:cs="Calibri"/>
                <w:b/>
                <w:bCs/>
                <w:color w:val="000000"/>
                <w:sz w:val="16"/>
                <w:szCs w:val="16"/>
                <w:lang w:eastAsia="hr-HR"/>
              </w:rPr>
              <w:t>-65.144.381,00</w:t>
            </w:r>
          </w:p>
        </w:tc>
        <w:tc>
          <w:tcPr>
            <w:tcW w:w="749" w:type="dxa"/>
            <w:tcBorders>
              <w:top w:val="nil"/>
              <w:left w:val="nil"/>
              <w:bottom w:val="single" w:sz="8" w:space="0" w:color="auto"/>
              <w:right w:val="single" w:sz="8" w:space="0" w:color="auto"/>
            </w:tcBorders>
            <w:shd w:val="clear" w:color="000000" w:fill="B8CCE4"/>
            <w:noWrap/>
            <w:vAlign w:val="bottom"/>
            <w:hideMark/>
          </w:tcPr>
          <w:p w:rsidR="00CC787C" w:rsidRPr="00CC787C" w:rsidRDefault="00CC787C" w:rsidP="00CC787C">
            <w:pPr>
              <w:spacing w:after="0" w:line="240" w:lineRule="auto"/>
              <w:rPr>
                <w:rFonts w:eastAsia="Times New Roman" w:cs="Calibri"/>
                <w:b/>
                <w:bCs/>
                <w:color w:val="000000"/>
                <w:sz w:val="16"/>
                <w:szCs w:val="16"/>
                <w:lang w:eastAsia="hr-HR"/>
              </w:rPr>
            </w:pPr>
            <w:r w:rsidRPr="00CC787C">
              <w:rPr>
                <w:rFonts w:eastAsia="Times New Roman" w:cs="Calibri"/>
                <w:b/>
                <w:bCs/>
                <w:color w:val="000000"/>
                <w:sz w:val="16"/>
                <w:szCs w:val="16"/>
                <w:lang w:eastAsia="hr-HR"/>
              </w:rPr>
              <w:t> </w:t>
            </w:r>
          </w:p>
        </w:tc>
      </w:tr>
    </w:tbl>
    <w:p w:rsidR="00CC787C" w:rsidRDefault="00CC787C" w:rsidP="00CC787C"/>
    <w:p w:rsidR="00CC787C" w:rsidRDefault="00CC787C" w:rsidP="00CC787C"/>
    <w:p w:rsidR="00CC787C" w:rsidRDefault="00CC787C" w:rsidP="00CC787C"/>
    <w:p w:rsidR="00CC787C" w:rsidRDefault="00CC787C" w:rsidP="00CC787C"/>
    <w:p w:rsidR="00CC787C" w:rsidRDefault="00CC787C" w:rsidP="00CC787C"/>
    <w:p w:rsidR="00CC787C" w:rsidRDefault="00CC787C" w:rsidP="00CC787C"/>
    <w:p w:rsidR="00CC787C" w:rsidRDefault="00CC787C" w:rsidP="00CC787C"/>
    <w:p w:rsidR="00CC787C" w:rsidRDefault="00CC787C" w:rsidP="00CC787C"/>
    <w:p w:rsidR="00CC787C" w:rsidRDefault="00CC787C" w:rsidP="00CC787C"/>
    <w:p w:rsidR="00B378C5" w:rsidRDefault="00B378C5" w:rsidP="009C47A7">
      <w:pPr>
        <w:jc w:val="both"/>
      </w:pPr>
    </w:p>
    <w:p w:rsidR="00C26934" w:rsidRDefault="00F03482" w:rsidP="00FF3326">
      <w:pPr>
        <w:pStyle w:val="Naslov1"/>
        <w:jc w:val="left"/>
      </w:pPr>
      <w:r>
        <w:lastRenderedPageBreak/>
        <w:t>BILJEŠKE – BILANCA (OBRAZAC BIL VP 152) NA DAN 31.12.20</w:t>
      </w:r>
      <w:r w:rsidR="00CC787C">
        <w:t>20</w:t>
      </w:r>
      <w:r>
        <w:t>. GODINE</w:t>
      </w:r>
    </w:p>
    <w:tbl>
      <w:tblPr>
        <w:tblW w:w="9781" w:type="dxa"/>
        <w:tblInd w:w="108" w:type="dxa"/>
        <w:tblLook w:val="04A0" w:firstRow="1" w:lastRow="0" w:firstColumn="1" w:lastColumn="0" w:noHBand="0" w:noVBand="1"/>
      </w:tblPr>
      <w:tblGrid>
        <w:gridCol w:w="880"/>
        <w:gridCol w:w="3515"/>
        <w:gridCol w:w="850"/>
        <w:gridCol w:w="1701"/>
        <w:gridCol w:w="1559"/>
        <w:gridCol w:w="1276"/>
      </w:tblGrid>
      <w:tr w:rsidR="00CC787C" w:rsidRPr="00CC787C" w:rsidTr="00CC787C">
        <w:trPr>
          <w:trHeight w:val="315"/>
        </w:trPr>
        <w:tc>
          <w:tcPr>
            <w:tcW w:w="9781" w:type="dxa"/>
            <w:gridSpan w:val="6"/>
            <w:tcBorders>
              <w:top w:val="nil"/>
              <w:left w:val="nil"/>
              <w:bottom w:val="single" w:sz="8" w:space="0" w:color="auto"/>
              <w:right w:val="nil"/>
            </w:tcBorders>
            <w:shd w:val="clear" w:color="auto" w:fill="auto"/>
            <w:vAlign w:val="center"/>
            <w:hideMark/>
          </w:tcPr>
          <w:p w:rsidR="00CC787C" w:rsidRPr="00CC787C" w:rsidRDefault="00CC787C" w:rsidP="00CC787C">
            <w:pPr>
              <w:pStyle w:val="Naslov3"/>
              <w:rPr>
                <w:rFonts w:eastAsia="Times New Roman"/>
                <w:lang w:eastAsia="hr-HR"/>
              </w:rPr>
            </w:pPr>
            <w:r w:rsidRPr="00CC787C">
              <w:rPr>
                <w:rFonts w:eastAsia="Times New Roman"/>
                <w:lang w:eastAsia="hr-HR"/>
              </w:rPr>
              <w:t>Tablica 1. Isječak iz Bilance na dan 31.12.2020. godine</w:t>
            </w:r>
          </w:p>
        </w:tc>
      </w:tr>
      <w:tr w:rsidR="00CC787C" w:rsidRPr="00CC787C" w:rsidTr="00CC787C">
        <w:trPr>
          <w:trHeight w:val="300"/>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Račun iz računskog plana</w:t>
            </w:r>
          </w:p>
        </w:tc>
        <w:tc>
          <w:tcPr>
            <w:tcW w:w="351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Opis</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AOP</w:t>
            </w:r>
          </w:p>
        </w:tc>
        <w:tc>
          <w:tcPr>
            <w:tcW w:w="1701" w:type="dxa"/>
            <w:tcBorders>
              <w:top w:val="nil"/>
              <w:left w:val="nil"/>
              <w:bottom w:val="nil"/>
              <w:right w:val="single" w:sz="8"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 xml:space="preserve">Stanje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Stanje 31.12.2020.</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Indeks 5/4</w:t>
            </w:r>
          </w:p>
        </w:tc>
      </w:tr>
      <w:tr w:rsidR="00CC787C" w:rsidRPr="00CC787C" w:rsidTr="00CC787C">
        <w:trPr>
          <w:trHeight w:val="390"/>
        </w:trPr>
        <w:tc>
          <w:tcPr>
            <w:tcW w:w="880" w:type="dxa"/>
            <w:vMerge/>
            <w:tcBorders>
              <w:top w:val="nil"/>
              <w:left w:val="single" w:sz="8" w:space="0" w:color="auto"/>
              <w:bottom w:val="single" w:sz="8" w:space="0" w:color="000000"/>
              <w:right w:val="single" w:sz="8" w:space="0" w:color="auto"/>
            </w:tcBorders>
            <w:vAlign w:val="center"/>
            <w:hideMark/>
          </w:tcPr>
          <w:p w:rsidR="00CC787C" w:rsidRPr="00CC787C" w:rsidRDefault="00CC787C" w:rsidP="00CC787C">
            <w:pPr>
              <w:spacing w:after="0" w:line="240" w:lineRule="auto"/>
              <w:rPr>
                <w:rFonts w:eastAsia="Times New Roman" w:cs="Calibri"/>
                <w:color w:val="000000"/>
                <w:sz w:val="16"/>
                <w:szCs w:val="16"/>
                <w:lang w:eastAsia="hr-HR"/>
              </w:rPr>
            </w:pPr>
          </w:p>
        </w:tc>
        <w:tc>
          <w:tcPr>
            <w:tcW w:w="3515" w:type="dxa"/>
            <w:vMerge/>
            <w:tcBorders>
              <w:top w:val="nil"/>
              <w:left w:val="single" w:sz="8" w:space="0" w:color="auto"/>
              <w:bottom w:val="single" w:sz="8" w:space="0" w:color="000000"/>
              <w:right w:val="single" w:sz="8" w:space="0" w:color="auto"/>
            </w:tcBorders>
            <w:vAlign w:val="center"/>
            <w:hideMark/>
          </w:tcPr>
          <w:p w:rsidR="00CC787C" w:rsidRPr="00CC787C" w:rsidRDefault="00CC787C" w:rsidP="00CC787C">
            <w:pPr>
              <w:spacing w:after="0" w:line="240" w:lineRule="auto"/>
              <w:rPr>
                <w:rFonts w:eastAsia="Times New Roman" w:cs="Calibri"/>
                <w:color w:val="000000"/>
                <w:sz w:val="16"/>
                <w:szCs w:val="16"/>
                <w:lang w:eastAsia="hr-HR"/>
              </w:rPr>
            </w:pPr>
          </w:p>
        </w:tc>
        <w:tc>
          <w:tcPr>
            <w:tcW w:w="850" w:type="dxa"/>
            <w:vMerge/>
            <w:tcBorders>
              <w:top w:val="nil"/>
              <w:left w:val="single" w:sz="8" w:space="0" w:color="auto"/>
              <w:bottom w:val="single" w:sz="8" w:space="0" w:color="000000"/>
              <w:right w:val="single" w:sz="8" w:space="0" w:color="auto"/>
            </w:tcBorders>
            <w:vAlign w:val="center"/>
            <w:hideMark/>
          </w:tcPr>
          <w:p w:rsidR="00CC787C" w:rsidRPr="00CC787C" w:rsidRDefault="00CC787C" w:rsidP="00CC787C">
            <w:pPr>
              <w:spacing w:after="0" w:line="240" w:lineRule="auto"/>
              <w:rPr>
                <w:rFonts w:eastAsia="Times New Roman" w:cs="Calibri"/>
                <w:color w:val="000000"/>
                <w:sz w:val="16"/>
                <w:szCs w:val="16"/>
                <w:lang w:eastAsia="hr-HR"/>
              </w:rPr>
            </w:pPr>
          </w:p>
        </w:tc>
        <w:tc>
          <w:tcPr>
            <w:tcW w:w="1701" w:type="dxa"/>
            <w:tcBorders>
              <w:top w:val="nil"/>
              <w:left w:val="nil"/>
              <w:bottom w:val="single" w:sz="8" w:space="0" w:color="auto"/>
              <w:right w:val="single" w:sz="8"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01.01. 2020.</w:t>
            </w:r>
          </w:p>
        </w:tc>
        <w:tc>
          <w:tcPr>
            <w:tcW w:w="1559" w:type="dxa"/>
            <w:vMerge/>
            <w:tcBorders>
              <w:top w:val="nil"/>
              <w:left w:val="single" w:sz="8" w:space="0" w:color="auto"/>
              <w:bottom w:val="single" w:sz="8" w:space="0" w:color="000000"/>
              <w:right w:val="single" w:sz="8" w:space="0" w:color="auto"/>
            </w:tcBorders>
            <w:vAlign w:val="center"/>
            <w:hideMark/>
          </w:tcPr>
          <w:p w:rsidR="00CC787C" w:rsidRPr="00CC787C" w:rsidRDefault="00CC787C" w:rsidP="00CC787C">
            <w:pPr>
              <w:spacing w:after="0" w:line="240" w:lineRule="auto"/>
              <w:rPr>
                <w:rFonts w:eastAsia="Times New Roman" w:cs="Calibri"/>
                <w:color w:val="000000"/>
                <w:sz w:val="16"/>
                <w:szCs w:val="16"/>
                <w:lang w:eastAsia="hr-HR"/>
              </w:rPr>
            </w:pPr>
          </w:p>
        </w:tc>
        <w:tc>
          <w:tcPr>
            <w:tcW w:w="1276" w:type="dxa"/>
            <w:vMerge/>
            <w:tcBorders>
              <w:top w:val="nil"/>
              <w:left w:val="single" w:sz="8" w:space="0" w:color="auto"/>
              <w:bottom w:val="single" w:sz="8" w:space="0" w:color="000000"/>
              <w:right w:val="single" w:sz="8" w:space="0" w:color="auto"/>
            </w:tcBorders>
            <w:vAlign w:val="center"/>
            <w:hideMark/>
          </w:tcPr>
          <w:p w:rsidR="00CC787C" w:rsidRPr="00CC787C" w:rsidRDefault="00CC787C" w:rsidP="00CC787C">
            <w:pPr>
              <w:spacing w:after="0" w:line="240" w:lineRule="auto"/>
              <w:rPr>
                <w:rFonts w:eastAsia="Times New Roman" w:cs="Calibri"/>
                <w:color w:val="000000"/>
                <w:sz w:val="16"/>
                <w:szCs w:val="16"/>
                <w:lang w:eastAsia="hr-HR"/>
              </w:rPr>
            </w:pPr>
          </w:p>
        </w:tc>
      </w:tr>
      <w:tr w:rsidR="00CC787C" w:rsidRPr="00CC787C" w:rsidTr="00CC787C">
        <w:trPr>
          <w:trHeight w:val="315"/>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1</w:t>
            </w:r>
          </w:p>
        </w:tc>
        <w:tc>
          <w:tcPr>
            <w:tcW w:w="3515"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3</w:t>
            </w:r>
          </w:p>
        </w:tc>
        <w:tc>
          <w:tcPr>
            <w:tcW w:w="1701" w:type="dxa"/>
            <w:tcBorders>
              <w:top w:val="nil"/>
              <w:left w:val="nil"/>
              <w:bottom w:val="single" w:sz="8" w:space="0" w:color="auto"/>
              <w:right w:val="single" w:sz="8"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4</w:t>
            </w:r>
          </w:p>
        </w:tc>
        <w:tc>
          <w:tcPr>
            <w:tcW w:w="1559" w:type="dxa"/>
            <w:tcBorders>
              <w:top w:val="nil"/>
              <w:left w:val="nil"/>
              <w:bottom w:val="single" w:sz="8" w:space="0" w:color="auto"/>
              <w:right w:val="single" w:sz="8" w:space="0" w:color="auto"/>
            </w:tcBorders>
            <w:shd w:val="clear" w:color="auto" w:fill="auto"/>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5</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6</w:t>
            </w:r>
          </w:p>
        </w:tc>
      </w:tr>
      <w:tr w:rsidR="00CC787C" w:rsidRPr="00CC787C" w:rsidTr="00CC787C">
        <w:trPr>
          <w:trHeight w:val="31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022 i 02922</w:t>
            </w:r>
          </w:p>
        </w:tc>
        <w:tc>
          <w:tcPr>
            <w:tcW w:w="3515"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Postrojenja i oprema</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14</w:t>
            </w:r>
          </w:p>
        </w:tc>
        <w:tc>
          <w:tcPr>
            <w:tcW w:w="1701"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5.870.828,00</w:t>
            </w:r>
          </w:p>
        </w:tc>
        <w:tc>
          <w:tcPr>
            <w:tcW w:w="1559"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5.272.168,00</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89,80</w:t>
            </w:r>
          </w:p>
        </w:tc>
      </w:tr>
      <w:tr w:rsidR="00CC787C" w:rsidRPr="00CC787C" w:rsidTr="00CC787C">
        <w:trPr>
          <w:trHeight w:val="31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221</w:t>
            </w:r>
          </w:p>
        </w:tc>
        <w:tc>
          <w:tcPr>
            <w:tcW w:w="3515"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Uredska oprema i namještaj</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15</w:t>
            </w:r>
          </w:p>
        </w:tc>
        <w:tc>
          <w:tcPr>
            <w:tcW w:w="1701"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15.938.835,00</w:t>
            </w:r>
          </w:p>
        </w:tc>
        <w:tc>
          <w:tcPr>
            <w:tcW w:w="1559"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14.690.417,00</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92,17</w:t>
            </w:r>
          </w:p>
        </w:tc>
      </w:tr>
      <w:tr w:rsidR="00CC787C" w:rsidRPr="00CC787C" w:rsidTr="00CC787C">
        <w:trPr>
          <w:trHeight w:val="31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222</w:t>
            </w:r>
          </w:p>
        </w:tc>
        <w:tc>
          <w:tcPr>
            <w:tcW w:w="3515"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Komunikacijska oprema</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16</w:t>
            </w:r>
          </w:p>
        </w:tc>
        <w:tc>
          <w:tcPr>
            <w:tcW w:w="1701"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2.185.409,00</w:t>
            </w:r>
          </w:p>
        </w:tc>
        <w:tc>
          <w:tcPr>
            <w:tcW w:w="1559"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2.212.276,00</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101,23</w:t>
            </w:r>
          </w:p>
        </w:tc>
      </w:tr>
      <w:tr w:rsidR="00CC787C" w:rsidRPr="00CC787C" w:rsidTr="00CC787C">
        <w:trPr>
          <w:trHeight w:val="31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223</w:t>
            </w:r>
          </w:p>
        </w:tc>
        <w:tc>
          <w:tcPr>
            <w:tcW w:w="3515"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Oprema za održavanje i zaštitu</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17</w:t>
            </w:r>
          </w:p>
        </w:tc>
        <w:tc>
          <w:tcPr>
            <w:tcW w:w="1701"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9.830.703,00</w:t>
            </w:r>
          </w:p>
        </w:tc>
        <w:tc>
          <w:tcPr>
            <w:tcW w:w="1559"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9.778.266,00</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99,47</w:t>
            </w:r>
          </w:p>
        </w:tc>
      </w:tr>
      <w:tr w:rsidR="00CC787C" w:rsidRPr="00CC787C" w:rsidTr="00CC787C">
        <w:trPr>
          <w:trHeight w:val="46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224</w:t>
            </w:r>
          </w:p>
        </w:tc>
        <w:tc>
          <w:tcPr>
            <w:tcW w:w="3515" w:type="dxa"/>
            <w:tcBorders>
              <w:top w:val="nil"/>
              <w:left w:val="nil"/>
              <w:bottom w:val="single" w:sz="8" w:space="0" w:color="auto"/>
              <w:right w:val="single" w:sz="8" w:space="0" w:color="auto"/>
            </w:tcBorders>
            <w:shd w:val="clear" w:color="auto" w:fill="auto"/>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Medicinska i laboratorijska oprema</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18</w:t>
            </w:r>
          </w:p>
        </w:tc>
        <w:tc>
          <w:tcPr>
            <w:tcW w:w="1701"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16.519.768,00</w:t>
            </w:r>
          </w:p>
        </w:tc>
        <w:tc>
          <w:tcPr>
            <w:tcW w:w="1559"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15.802.859,00</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95,66</w:t>
            </w:r>
          </w:p>
        </w:tc>
      </w:tr>
      <w:tr w:rsidR="00CC787C" w:rsidRPr="00CC787C" w:rsidTr="00CC787C">
        <w:trPr>
          <w:trHeight w:val="31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225</w:t>
            </w:r>
          </w:p>
        </w:tc>
        <w:tc>
          <w:tcPr>
            <w:tcW w:w="3515"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Instrumenti, uređaji i strojevi</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19</w:t>
            </w:r>
          </w:p>
        </w:tc>
        <w:tc>
          <w:tcPr>
            <w:tcW w:w="1701"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530.947,00</w:t>
            </w:r>
          </w:p>
        </w:tc>
        <w:tc>
          <w:tcPr>
            <w:tcW w:w="1559"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518.271,00</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97,61</w:t>
            </w:r>
          </w:p>
        </w:tc>
      </w:tr>
      <w:tr w:rsidR="00CC787C" w:rsidRPr="00CC787C" w:rsidTr="00CC787C">
        <w:trPr>
          <w:trHeight w:val="31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226</w:t>
            </w:r>
          </w:p>
        </w:tc>
        <w:tc>
          <w:tcPr>
            <w:tcW w:w="3515"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Sportska i glazbena oprema</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20</w:t>
            </w:r>
          </w:p>
        </w:tc>
        <w:tc>
          <w:tcPr>
            <w:tcW w:w="1701"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608.513,00</w:t>
            </w:r>
          </w:p>
        </w:tc>
        <w:tc>
          <w:tcPr>
            <w:tcW w:w="1559"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158.596,00</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26,06</w:t>
            </w:r>
          </w:p>
        </w:tc>
      </w:tr>
      <w:tr w:rsidR="00CC787C" w:rsidRPr="00CC787C" w:rsidTr="00E559D8">
        <w:trPr>
          <w:trHeight w:val="291"/>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227</w:t>
            </w:r>
          </w:p>
        </w:tc>
        <w:tc>
          <w:tcPr>
            <w:tcW w:w="3515" w:type="dxa"/>
            <w:tcBorders>
              <w:top w:val="nil"/>
              <w:left w:val="nil"/>
              <w:bottom w:val="single" w:sz="8" w:space="0" w:color="auto"/>
              <w:right w:val="single" w:sz="8" w:space="0" w:color="auto"/>
            </w:tcBorders>
            <w:shd w:val="clear" w:color="auto" w:fill="auto"/>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Uređaji, strojevi i oprema za ostale namjene</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21</w:t>
            </w:r>
          </w:p>
        </w:tc>
        <w:tc>
          <w:tcPr>
            <w:tcW w:w="1701"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10.621.764,00</w:t>
            </w:r>
          </w:p>
        </w:tc>
        <w:tc>
          <w:tcPr>
            <w:tcW w:w="1559"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10.357.117,00</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97,51</w:t>
            </w:r>
          </w:p>
        </w:tc>
      </w:tr>
      <w:tr w:rsidR="00CC787C" w:rsidRPr="00CC787C" w:rsidTr="00E559D8">
        <w:trPr>
          <w:trHeight w:val="395"/>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2922</w:t>
            </w:r>
          </w:p>
        </w:tc>
        <w:tc>
          <w:tcPr>
            <w:tcW w:w="3515" w:type="dxa"/>
            <w:tcBorders>
              <w:top w:val="nil"/>
              <w:left w:val="nil"/>
              <w:bottom w:val="single" w:sz="8" w:space="0" w:color="auto"/>
              <w:right w:val="single" w:sz="8" w:space="0" w:color="auto"/>
            </w:tcBorders>
            <w:shd w:val="clear" w:color="auto" w:fill="auto"/>
            <w:vAlign w:val="center"/>
            <w:hideMark/>
          </w:tcPr>
          <w:p w:rsidR="00CC787C" w:rsidRPr="00CC787C" w:rsidRDefault="00CC787C" w:rsidP="00CC787C">
            <w:pPr>
              <w:spacing w:after="0" w:line="240" w:lineRule="auto"/>
              <w:rPr>
                <w:rFonts w:eastAsia="Times New Roman" w:cs="Calibri"/>
                <w:color w:val="000000"/>
                <w:sz w:val="16"/>
                <w:szCs w:val="16"/>
                <w:lang w:eastAsia="hr-HR"/>
              </w:rPr>
            </w:pPr>
            <w:r w:rsidRPr="00CC787C">
              <w:rPr>
                <w:rFonts w:eastAsia="Times New Roman" w:cs="Calibri"/>
                <w:color w:val="000000"/>
                <w:sz w:val="16"/>
                <w:szCs w:val="16"/>
                <w:lang w:eastAsia="hr-HR"/>
              </w:rPr>
              <w:t>Ispravak vrijednosti postrojenja i opreme</w:t>
            </w:r>
          </w:p>
        </w:tc>
        <w:tc>
          <w:tcPr>
            <w:tcW w:w="850"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center"/>
              <w:rPr>
                <w:rFonts w:eastAsia="Times New Roman" w:cs="Calibri"/>
                <w:color w:val="000000"/>
                <w:sz w:val="16"/>
                <w:szCs w:val="16"/>
                <w:lang w:eastAsia="hr-HR"/>
              </w:rPr>
            </w:pPr>
            <w:r w:rsidRPr="00CC787C">
              <w:rPr>
                <w:rFonts w:eastAsia="Times New Roman" w:cs="Calibri"/>
                <w:color w:val="000000"/>
                <w:sz w:val="16"/>
                <w:szCs w:val="16"/>
                <w:lang w:eastAsia="hr-HR"/>
              </w:rPr>
              <w:t>23</w:t>
            </w:r>
          </w:p>
        </w:tc>
        <w:tc>
          <w:tcPr>
            <w:tcW w:w="1701"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50.365.111,00</w:t>
            </w:r>
          </w:p>
        </w:tc>
        <w:tc>
          <w:tcPr>
            <w:tcW w:w="1559"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48.245.634,00</w:t>
            </w:r>
          </w:p>
        </w:tc>
        <w:tc>
          <w:tcPr>
            <w:tcW w:w="1276" w:type="dxa"/>
            <w:tcBorders>
              <w:top w:val="nil"/>
              <w:left w:val="nil"/>
              <w:bottom w:val="single" w:sz="8" w:space="0" w:color="auto"/>
              <w:right w:val="single" w:sz="8" w:space="0" w:color="auto"/>
            </w:tcBorders>
            <w:shd w:val="clear" w:color="auto" w:fill="auto"/>
            <w:noWrap/>
            <w:vAlign w:val="center"/>
            <w:hideMark/>
          </w:tcPr>
          <w:p w:rsidR="00CC787C" w:rsidRPr="00CC787C" w:rsidRDefault="00CC787C" w:rsidP="00CC787C">
            <w:pPr>
              <w:spacing w:after="0" w:line="240" w:lineRule="auto"/>
              <w:jc w:val="right"/>
              <w:rPr>
                <w:rFonts w:eastAsia="Times New Roman" w:cs="Calibri"/>
                <w:color w:val="000000"/>
                <w:sz w:val="16"/>
                <w:szCs w:val="16"/>
                <w:lang w:eastAsia="hr-HR"/>
              </w:rPr>
            </w:pPr>
            <w:r w:rsidRPr="00CC787C">
              <w:rPr>
                <w:rFonts w:eastAsia="Times New Roman" w:cs="Calibri"/>
                <w:color w:val="000000"/>
                <w:sz w:val="16"/>
                <w:szCs w:val="16"/>
                <w:lang w:eastAsia="hr-HR"/>
              </w:rPr>
              <w:t>95,79</w:t>
            </w:r>
          </w:p>
        </w:tc>
      </w:tr>
    </w:tbl>
    <w:p w:rsidR="00FF3326" w:rsidRDefault="00FF3326" w:rsidP="009C47A7">
      <w:pPr>
        <w:jc w:val="both"/>
      </w:pPr>
    </w:p>
    <w:p w:rsidR="00FF3326" w:rsidRDefault="00FF3326" w:rsidP="009C47A7">
      <w:pPr>
        <w:jc w:val="both"/>
      </w:pPr>
      <w:r>
        <w:t>Tijekom 20</w:t>
      </w:r>
      <w:r w:rsidR="00CC787C">
        <w:t>20</w:t>
      </w:r>
      <w:r>
        <w:t xml:space="preserve">. godine imamo evidentirano </w:t>
      </w:r>
      <w:r w:rsidR="00CC787C">
        <w:t>smanjenje</w:t>
      </w:r>
      <w:r>
        <w:t xml:space="preserve"> vrijednosti postrojenja i opreme za </w:t>
      </w:r>
      <w:r w:rsidR="002D0927">
        <w:t>10,20</w:t>
      </w:r>
      <w:r>
        <w:t xml:space="preserve">%, odnosno po pojedinim stavkama nabavki opreme </w:t>
      </w:r>
      <w:r w:rsidR="002D0927">
        <w:t>smanjenje</w:t>
      </w:r>
      <w:r>
        <w:t xml:space="preserve"> vrijednosti se kreće u rasponu od 0,</w:t>
      </w:r>
      <w:r w:rsidR="002D0927">
        <w:t>53</w:t>
      </w:r>
      <w:r>
        <w:t>-</w:t>
      </w:r>
      <w:r w:rsidR="002D0927">
        <w:t>73,94</w:t>
      </w:r>
      <w:r>
        <w:t xml:space="preserve">%. Pad vrijednosti postrojenja i opreme evidentiran je na </w:t>
      </w:r>
      <w:r w:rsidR="002D0927">
        <w:t xml:space="preserve">uredskoj opremi i namještaju, opremi za održavanje i zaštitu, medicinskoj i laboratorijskoj opremi, </w:t>
      </w:r>
      <w:r>
        <w:t xml:space="preserve"> sportskoj i glazbenoj opremi, te na uređaji, stro</w:t>
      </w:r>
      <w:r w:rsidR="003430DB">
        <w:t>jevi i oprema za ostale namjene</w:t>
      </w:r>
      <w:r w:rsidR="002D0927">
        <w:t>. Povećanje vrijednosti evidentirano je na komunikacijskoj opremi (nabava televizora).</w:t>
      </w:r>
    </w:p>
    <w:p w:rsidR="00FF3326" w:rsidRDefault="00FF3326" w:rsidP="00FF3326">
      <w:pPr>
        <w:spacing w:after="0" w:line="240" w:lineRule="auto"/>
        <w:jc w:val="both"/>
      </w:pPr>
      <w:r w:rsidRPr="004B107C">
        <w:rPr>
          <w:b/>
        </w:rPr>
        <w:t xml:space="preserve">AOP – </w:t>
      </w:r>
      <w:r>
        <w:rPr>
          <w:b/>
        </w:rPr>
        <w:t>005</w:t>
      </w:r>
      <w:r w:rsidRPr="004B107C">
        <w:rPr>
          <w:b/>
        </w:rPr>
        <w:t xml:space="preserve"> – </w:t>
      </w:r>
      <w:r>
        <w:rPr>
          <w:b/>
        </w:rPr>
        <w:t>Nefinancijska</w:t>
      </w:r>
      <w:r w:rsidRPr="004B107C">
        <w:rPr>
          <w:b/>
        </w:rPr>
        <w:t xml:space="preserve"> imovina –</w:t>
      </w:r>
      <w:r w:rsidRPr="004B107C">
        <w:t xml:space="preserve"> </w:t>
      </w:r>
      <w:r>
        <w:t>stanje nematerijalne imovine povećano je tijekom 20</w:t>
      </w:r>
      <w:r w:rsidR="002D0927">
        <w:t>20</w:t>
      </w:r>
      <w:r>
        <w:t xml:space="preserve">. godine za </w:t>
      </w:r>
      <w:r w:rsidR="002D0927">
        <w:t>104.577,00</w:t>
      </w:r>
      <w:r>
        <w:t xml:space="preserve"> kuna, a odnosi se na kupnju novih licenci za</w:t>
      </w:r>
      <w:r w:rsidR="002843F2">
        <w:t xml:space="preserve"> antivirusni program, za program za obračun plaća (obračun kamata po sudskim sporovima), i kupnja licenci za e-mail programe.</w:t>
      </w:r>
      <w:r>
        <w:t xml:space="preserve"> </w:t>
      </w:r>
    </w:p>
    <w:p w:rsidR="002843F2" w:rsidRDefault="002843F2" w:rsidP="00FF3326">
      <w:pPr>
        <w:spacing w:after="0" w:line="240" w:lineRule="auto"/>
        <w:jc w:val="both"/>
      </w:pPr>
    </w:p>
    <w:p w:rsidR="00FF3326" w:rsidRPr="00397A67" w:rsidRDefault="00FF3326" w:rsidP="00FF3326">
      <w:pPr>
        <w:spacing w:after="0" w:line="240" w:lineRule="auto"/>
        <w:jc w:val="both"/>
      </w:pPr>
      <w:r w:rsidRPr="004B107C">
        <w:rPr>
          <w:b/>
        </w:rPr>
        <w:t xml:space="preserve">AOP – </w:t>
      </w:r>
      <w:r>
        <w:rPr>
          <w:b/>
        </w:rPr>
        <w:t>042</w:t>
      </w:r>
      <w:r w:rsidRPr="004B107C">
        <w:rPr>
          <w:b/>
        </w:rPr>
        <w:t xml:space="preserve"> – </w:t>
      </w:r>
      <w:r>
        <w:rPr>
          <w:b/>
        </w:rPr>
        <w:t>Ulaganja u računalne programe</w:t>
      </w:r>
      <w:r w:rsidRPr="004B107C">
        <w:rPr>
          <w:b/>
        </w:rPr>
        <w:t xml:space="preserve"> –</w:t>
      </w:r>
      <w:r w:rsidRPr="004B107C">
        <w:t xml:space="preserve"> </w:t>
      </w:r>
      <w:r>
        <w:t xml:space="preserve">tijekom godine </w:t>
      </w:r>
      <w:r w:rsidR="002843F2">
        <w:t>izvršena je nadogradnja bolničkog sustava za mogućnost spajanja na centralni upravljački sustav (CUS) i nadogradnja dijela sestrinske dokumentacije.</w:t>
      </w:r>
    </w:p>
    <w:p w:rsidR="00FF3326" w:rsidRPr="006E3342" w:rsidRDefault="00FF3326" w:rsidP="00FF3326">
      <w:pPr>
        <w:spacing w:after="0" w:line="240" w:lineRule="auto"/>
        <w:jc w:val="both"/>
        <w:rPr>
          <w:rFonts w:eastAsia="Times New Roman" w:cs="Calibri"/>
          <w:color w:val="000000"/>
          <w:lang w:eastAsia="hr-HR"/>
        </w:rPr>
      </w:pPr>
    </w:p>
    <w:p w:rsidR="00FF3326" w:rsidRDefault="00FF3326" w:rsidP="00FF3326">
      <w:pPr>
        <w:spacing w:after="0" w:line="240" w:lineRule="auto"/>
        <w:jc w:val="both"/>
      </w:pPr>
      <w:r w:rsidRPr="004B107C">
        <w:rPr>
          <w:b/>
        </w:rPr>
        <w:t xml:space="preserve">AOP – </w:t>
      </w:r>
      <w:r>
        <w:rPr>
          <w:b/>
        </w:rPr>
        <w:t>048</w:t>
      </w:r>
      <w:r w:rsidRPr="004B107C">
        <w:rPr>
          <w:b/>
        </w:rPr>
        <w:t xml:space="preserve"> – </w:t>
      </w:r>
      <w:r>
        <w:rPr>
          <w:b/>
        </w:rPr>
        <w:t>Zalihe sitnog inventara</w:t>
      </w:r>
      <w:r w:rsidRPr="004B107C">
        <w:rPr>
          <w:b/>
        </w:rPr>
        <w:t xml:space="preserve"> –</w:t>
      </w:r>
      <w:r w:rsidRPr="004B107C">
        <w:t xml:space="preserve"> </w:t>
      </w:r>
      <w:r w:rsidR="00E559D8">
        <w:t>povećane</w:t>
      </w:r>
      <w:r>
        <w:t xml:space="preserve"> su za </w:t>
      </w:r>
      <w:r w:rsidR="00E559D8">
        <w:t>6.419,00</w:t>
      </w:r>
      <w:r>
        <w:t xml:space="preserve"> kuna ili za </w:t>
      </w:r>
      <w:r w:rsidR="00E559D8">
        <w:t>2,7</w:t>
      </w:r>
      <w:r>
        <w:t>% u odnosu na stanje 1.1.20</w:t>
      </w:r>
      <w:r w:rsidR="00E559D8">
        <w:t>20</w:t>
      </w:r>
      <w:r>
        <w:t xml:space="preserve">. godine, a odnosi se na </w:t>
      </w:r>
      <w:r w:rsidR="00E559D8">
        <w:t xml:space="preserve">nabavke tijekom godine, ove godine nije </w:t>
      </w:r>
      <w:r>
        <w:t>evidentiran manjak sitnog inventara utvrđen redovnim godišnjim popisom imovine i obveza za 20</w:t>
      </w:r>
      <w:r w:rsidR="00E559D8">
        <w:t>20</w:t>
      </w:r>
      <w:r>
        <w:t>. godinu</w:t>
      </w:r>
      <w:r w:rsidR="00E559D8">
        <w:t xml:space="preserve"> budući da zbog situacije vezano uz COVID-19 isti nije bilo moguće provesti</w:t>
      </w:r>
      <w:r>
        <w:t>.</w:t>
      </w:r>
    </w:p>
    <w:p w:rsidR="00E559D8" w:rsidRDefault="00E559D8" w:rsidP="00FF3326">
      <w:pPr>
        <w:spacing w:after="0" w:line="240" w:lineRule="auto"/>
        <w:jc w:val="both"/>
      </w:pPr>
    </w:p>
    <w:p w:rsidR="00E559D8" w:rsidRDefault="00E559D8" w:rsidP="00FF3326">
      <w:pPr>
        <w:spacing w:after="0" w:line="240" w:lineRule="auto"/>
        <w:jc w:val="both"/>
      </w:pPr>
      <w:r w:rsidRPr="005D56A2">
        <w:rPr>
          <w:b/>
        </w:rPr>
        <w:t>AOP – 052 – Građevinski objekti u pripremi</w:t>
      </w:r>
      <w:r>
        <w:t xml:space="preserve"> – povećane su za 422,9% ili za 110.653.017,00 kuna</w:t>
      </w:r>
      <w:r w:rsidR="005D56A2">
        <w:t>, a odnosi se na građevinsko-obrtničke radove na objektima Bolnice.</w:t>
      </w:r>
    </w:p>
    <w:p w:rsidR="00FF3326" w:rsidRDefault="00FF3326" w:rsidP="00FF3326">
      <w:pPr>
        <w:spacing w:after="0" w:line="240" w:lineRule="auto"/>
        <w:jc w:val="both"/>
      </w:pPr>
    </w:p>
    <w:p w:rsidR="00FF3326" w:rsidRDefault="00FF3326" w:rsidP="00FF3326">
      <w:pPr>
        <w:spacing w:after="0" w:line="240" w:lineRule="auto"/>
        <w:jc w:val="both"/>
      </w:pPr>
      <w:r w:rsidRPr="004B107C">
        <w:rPr>
          <w:b/>
        </w:rPr>
        <w:t xml:space="preserve">AOP – </w:t>
      </w:r>
      <w:r>
        <w:rPr>
          <w:b/>
        </w:rPr>
        <w:t>0</w:t>
      </w:r>
      <w:r w:rsidR="004F68B4">
        <w:rPr>
          <w:b/>
        </w:rPr>
        <w:t>53</w:t>
      </w:r>
      <w:r w:rsidRPr="004B107C">
        <w:rPr>
          <w:b/>
        </w:rPr>
        <w:t xml:space="preserve"> – </w:t>
      </w:r>
      <w:r w:rsidR="00231633">
        <w:rPr>
          <w:b/>
        </w:rPr>
        <w:t>Postrojenja i oprema u pripremi</w:t>
      </w:r>
      <w:r w:rsidRPr="004B107C">
        <w:rPr>
          <w:b/>
        </w:rPr>
        <w:t xml:space="preserve"> –</w:t>
      </w:r>
      <w:r w:rsidRPr="004B107C">
        <w:t xml:space="preserve"> </w:t>
      </w:r>
      <w:r w:rsidR="00231633">
        <w:t>vrijednost opreme je povećana</w:t>
      </w:r>
      <w:r w:rsidR="003430DB">
        <w:t xml:space="preserve"> za </w:t>
      </w:r>
      <w:r w:rsidR="00E559D8">
        <w:t>202,2</w:t>
      </w:r>
      <w:r w:rsidR="003430DB">
        <w:t xml:space="preserve">% ili za </w:t>
      </w:r>
      <w:r w:rsidR="00E559D8">
        <w:t>25.234,00</w:t>
      </w:r>
      <w:r w:rsidR="003430DB">
        <w:t xml:space="preserve"> kuna </w:t>
      </w:r>
      <w:r w:rsidR="00231633">
        <w:t xml:space="preserve"> koja je nabavljena potkraj godine, a nije stavljena u upotrebu</w:t>
      </w:r>
      <w:r w:rsidR="00E559D8">
        <w:t>.</w:t>
      </w:r>
    </w:p>
    <w:p w:rsidR="00FF3326" w:rsidRPr="00397A67" w:rsidRDefault="00FF3326" w:rsidP="00FF3326">
      <w:pPr>
        <w:spacing w:after="0" w:line="240" w:lineRule="auto"/>
        <w:jc w:val="both"/>
      </w:pPr>
    </w:p>
    <w:p w:rsidR="00FF3326" w:rsidRDefault="00FF3326" w:rsidP="00FF3326">
      <w:pPr>
        <w:spacing w:after="0" w:line="240" w:lineRule="auto"/>
        <w:jc w:val="both"/>
      </w:pPr>
      <w:r w:rsidRPr="004B107C">
        <w:rPr>
          <w:b/>
        </w:rPr>
        <w:t xml:space="preserve">AOP – </w:t>
      </w:r>
      <w:r>
        <w:rPr>
          <w:b/>
        </w:rPr>
        <w:t>059</w:t>
      </w:r>
      <w:r w:rsidRPr="004B107C">
        <w:rPr>
          <w:b/>
        </w:rPr>
        <w:t xml:space="preserve"> – </w:t>
      </w:r>
      <w:r>
        <w:rPr>
          <w:b/>
        </w:rPr>
        <w:t>Zalihe za obavljanje djelatnosti</w:t>
      </w:r>
      <w:r w:rsidRPr="004B107C">
        <w:rPr>
          <w:b/>
        </w:rPr>
        <w:t xml:space="preserve"> –</w:t>
      </w:r>
      <w:r>
        <w:t xml:space="preserve"> ukupne zalihe </w:t>
      </w:r>
      <w:r w:rsidR="005D56A2">
        <w:t>povećane</w:t>
      </w:r>
      <w:r w:rsidR="00231633">
        <w:t xml:space="preserve"> su za </w:t>
      </w:r>
      <w:r w:rsidR="005D56A2">
        <w:t>65,8</w:t>
      </w:r>
      <w:r w:rsidR="00231633">
        <w:t xml:space="preserve">% ili za </w:t>
      </w:r>
      <w:r w:rsidR="005D56A2">
        <w:t>469.994,00</w:t>
      </w:r>
      <w:r w:rsidR="00231633">
        <w:t xml:space="preserve"> kuna u odnosu na stanje početkom godine</w:t>
      </w:r>
      <w:r>
        <w:t>.</w:t>
      </w:r>
      <w:r w:rsidR="00231633">
        <w:t xml:space="preserve"> </w:t>
      </w:r>
      <w:r w:rsidR="005D56A2">
        <w:t>Povećanje zaliha se odnosi na zalihu potrošnog medicinskog materijala što je povezano sa situacijom uz COVID-19.</w:t>
      </w:r>
    </w:p>
    <w:p w:rsidR="005D56A2" w:rsidRDefault="005D56A2" w:rsidP="00FF3326">
      <w:pPr>
        <w:spacing w:after="0" w:line="240" w:lineRule="auto"/>
        <w:jc w:val="both"/>
      </w:pPr>
    </w:p>
    <w:p w:rsidR="005D56A2" w:rsidRDefault="005D56A2" w:rsidP="00FF3326">
      <w:pPr>
        <w:spacing w:after="0" w:line="240" w:lineRule="auto"/>
        <w:jc w:val="both"/>
      </w:pPr>
    </w:p>
    <w:p w:rsidR="00FF3326" w:rsidRDefault="00FF3326" w:rsidP="009C47A7">
      <w:pPr>
        <w:jc w:val="both"/>
      </w:pPr>
    </w:p>
    <w:p w:rsidR="00231633" w:rsidRDefault="00231633" w:rsidP="00231633">
      <w:pPr>
        <w:spacing w:after="0" w:line="240" w:lineRule="auto"/>
        <w:jc w:val="both"/>
      </w:pPr>
      <w:r w:rsidRPr="004B107C">
        <w:rPr>
          <w:b/>
        </w:rPr>
        <w:lastRenderedPageBreak/>
        <w:t>AOP – 06</w:t>
      </w:r>
      <w:r>
        <w:rPr>
          <w:b/>
        </w:rPr>
        <w:t>2</w:t>
      </w:r>
      <w:r w:rsidRPr="004B107C">
        <w:rPr>
          <w:b/>
        </w:rPr>
        <w:t xml:space="preserve"> – </w:t>
      </w:r>
      <w:r>
        <w:rPr>
          <w:b/>
        </w:rPr>
        <w:t>Roba za daljnju prodaju</w:t>
      </w:r>
      <w:r w:rsidRPr="004B107C">
        <w:rPr>
          <w:b/>
        </w:rPr>
        <w:t xml:space="preserve"> –</w:t>
      </w:r>
      <w:r w:rsidRPr="004B107C">
        <w:t xml:space="preserve"> </w:t>
      </w:r>
      <w:r>
        <w:t>smanjenje zaliha robe za daljnju prodaju (trgovine i šankovi) evidentirano je zbog pada prodaje smještajnih kapaciteta i ugostiteljskih usluga a radi radova na energetskoj obnovi ob</w:t>
      </w:r>
      <w:r w:rsidR="00026517">
        <w:t>jekta Minerva (radovi u tijeku), kao i situacije vezane uz COVID-19.</w:t>
      </w:r>
    </w:p>
    <w:p w:rsidR="00231633" w:rsidRPr="006E3342" w:rsidRDefault="00231633" w:rsidP="00231633">
      <w:pPr>
        <w:spacing w:after="0" w:line="240" w:lineRule="auto"/>
        <w:jc w:val="both"/>
        <w:rPr>
          <w:rFonts w:eastAsia="Times New Roman" w:cs="Calibri"/>
          <w:color w:val="000000"/>
          <w:lang w:eastAsia="hr-HR"/>
        </w:rPr>
      </w:pPr>
    </w:p>
    <w:p w:rsidR="00231633" w:rsidRDefault="00231633" w:rsidP="00231633">
      <w:pPr>
        <w:spacing w:after="0" w:line="240" w:lineRule="auto"/>
        <w:jc w:val="both"/>
      </w:pPr>
      <w:r w:rsidRPr="004B107C">
        <w:rPr>
          <w:b/>
        </w:rPr>
        <w:t xml:space="preserve">AOP – </w:t>
      </w:r>
      <w:r>
        <w:rPr>
          <w:b/>
        </w:rPr>
        <w:t>063</w:t>
      </w:r>
      <w:r w:rsidRPr="004B107C">
        <w:rPr>
          <w:b/>
        </w:rPr>
        <w:t xml:space="preserve"> – </w:t>
      </w:r>
      <w:r>
        <w:rPr>
          <w:b/>
        </w:rPr>
        <w:t xml:space="preserve">Financijska imovina </w:t>
      </w:r>
      <w:r w:rsidRPr="004B107C">
        <w:rPr>
          <w:b/>
        </w:rPr>
        <w:t xml:space="preserve"> –</w:t>
      </w:r>
      <w:r w:rsidRPr="004B107C">
        <w:t xml:space="preserve"> </w:t>
      </w:r>
      <w:r>
        <w:t xml:space="preserve">na kraju godine bilježi smanjenje za </w:t>
      </w:r>
      <w:r w:rsidR="00026517">
        <w:t>26,2</w:t>
      </w:r>
      <w:r>
        <w:t xml:space="preserve">% ili za </w:t>
      </w:r>
      <w:r w:rsidR="00026517">
        <w:t>6.396.016,00</w:t>
      </w:r>
      <w:r>
        <w:t xml:space="preserve"> kuna radi podmirenja obveza za radove na energetskoj obnovi objekta Minerva (do kraja godine nisu refundirana sredstva iz EU fondova za financiranje spomenutih radova).</w:t>
      </w:r>
    </w:p>
    <w:p w:rsidR="00231633" w:rsidRDefault="00231633" w:rsidP="00231633">
      <w:pPr>
        <w:spacing w:after="0" w:line="240" w:lineRule="auto"/>
        <w:jc w:val="both"/>
      </w:pPr>
    </w:p>
    <w:p w:rsidR="00231633" w:rsidRDefault="00231633" w:rsidP="00231633">
      <w:pPr>
        <w:spacing w:after="0" w:line="240" w:lineRule="auto"/>
        <w:jc w:val="both"/>
      </w:pPr>
      <w:r w:rsidRPr="004B107C">
        <w:rPr>
          <w:b/>
        </w:rPr>
        <w:t xml:space="preserve">AOP – </w:t>
      </w:r>
      <w:r>
        <w:rPr>
          <w:b/>
        </w:rPr>
        <w:t>069</w:t>
      </w:r>
      <w:r w:rsidRPr="004B107C">
        <w:rPr>
          <w:b/>
        </w:rPr>
        <w:t xml:space="preserve"> – </w:t>
      </w:r>
      <w:r w:rsidR="00EB6E1D">
        <w:rPr>
          <w:b/>
        </w:rPr>
        <w:t>Prijelazni račun</w:t>
      </w:r>
      <w:r w:rsidRPr="004B107C">
        <w:rPr>
          <w:b/>
        </w:rPr>
        <w:t xml:space="preserve"> –</w:t>
      </w:r>
      <w:r w:rsidRPr="004B107C">
        <w:t xml:space="preserve"> </w:t>
      </w:r>
      <w:r w:rsidR="00EB6E1D">
        <w:t>na kraju godine evidentirani manji polozi gotovog novca na žiro-računu zbog pada prihoda od tržišta.</w:t>
      </w:r>
    </w:p>
    <w:p w:rsidR="00026517" w:rsidRDefault="00026517" w:rsidP="00231633">
      <w:pPr>
        <w:spacing w:after="0" w:line="240" w:lineRule="auto"/>
        <w:jc w:val="both"/>
      </w:pPr>
    </w:p>
    <w:p w:rsidR="00231633" w:rsidRDefault="00026517" w:rsidP="00231633">
      <w:pPr>
        <w:spacing w:after="0" w:line="240" w:lineRule="auto"/>
        <w:jc w:val="both"/>
      </w:pPr>
      <w:r w:rsidRPr="003E6C7C">
        <w:rPr>
          <w:b/>
        </w:rPr>
        <w:t xml:space="preserve">AOP – </w:t>
      </w:r>
      <w:r w:rsidR="003E6C7C" w:rsidRPr="003E6C7C">
        <w:rPr>
          <w:b/>
        </w:rPr>
        <w:t>078</w:t>
      </w:r>
      <w:r w:rsidRPr="003E6C7C">
        <w:rPr>
          <w:b/>
        </w:rPr>
        <w:t xml:space="preserve"> – </w:t>
      </w:r>
      <w:r w:rsidR="003E6C7C" w:rsidRPr="003E6C7C">
        <w:rPr>
          <w:b/>
        </w:rPr>
        <w:t>Potraživanja od zaposlenih</w:t>
      </w:r>
      <w:r w:rsidR="003E6C7C">
        <w:t xml:space="preserve"> – na kraju godine evidentirana manja potraživanja od zaposlenih</w:t>
      </w:r>
      <w:r w:rsidR="00FB2146">
        <w:t xml:space="preserve"> za 22,3% ili za 6.395,00 kuna, manja kupovine zaposlenih u našim prodajnim prostorima.</w:t>
      </w:r>
    </w:p>
    <w:p w:rsidR="00FB2146" w:rsidRPr="004B107C" w:rsidRDefault="00FB2146" w:rsidP="00231633">
      <w:pPr>
        <w:spacing w:after="0" w:line="240" w:lineRule="auto"/>
        <w:jc w:val="both"/>
      </w:pPr>
    </w:p>
    <w:p w:rsidR="00231633" w:rsidRDefault="00231633" w:rsidP="00231633">
      <w:pPr>
        <w:jc w:val="both"/>
      </w:pPr>
      <w:r w:rsidRPr="004B107C">
        <w:rPr>
          <w:b/>
        </w:rPr>
        <w:t xml:space="preserve">AOP – </w:t>
      </w:r>
      <w:r>
        <w:rPr>
          <w:b/>
        </w:rPr>
        <w:t>08</w:t>
      </w:r>
      <w:r w:rsidR="00026517">
        <w:rPr>
          <w:b/>
        </w:rPr>
        <w:t>1</w:t>
      </w:r>
      <w:r w:rsidRPr="004B107C">
        <w:rPr>
          <w:b/>
        </w:rPr>
        <w:t xml:space="preserve"> – </w:t>
      </w:r>
      <w:r>
        <w:rPr>
          <w:b/>
        </w:rPr>
        <w:t>Ostala potraživanja</w:t>
      </w:r>
      <w:r w:rsidRPr="004B107C">
        <w:rPr>
          <w:b/>
        </w:rPr>
        <w:t xml:space="preserve"> –</w:t>
      </w:r>
      <w:r w:rsidRPr="004B107C">
        <w:t xml:space="preserve"> </w:t>
      </w:r>
      <w:r w:rsidR="00026517">
        <w:t>smanjena</w:t>
      </w:r>
      <w:r w:rsidR="00EB6E1D">
        <w:t xml:space="preserve"> su na kraju godine </w:t>
      </w:r>
      <w:r w:rsidR="003E6C7C">
        <w:t>i iznose</w:t>
      </w:r>
      <w:r w:rsidR="00EB6E1D">
        <w:t xml:space="preserve"> </w:t>
      </w:r>
      <w:r w:rsidR="00026517">
        <w:t>627.728,00</w:t>
      </w:r>
      <w:r w:rsidR="00EB6E1D">
        <w:t xml:space="preserve"> kuna, a odnosi se na potraživanja za refundaciju bolovanja, </w:t>
      </w:r>
      <w:r w:rsidR="003E6C7C">
        <w:t xml:space="preserve"> za </w:t>
      </w:r>
      <w:r w:rsidR="00EB6E1D">
        <w:t xml:space="preserve">dane predujmove Elektri Varaždin za postavljanje trafo stanica za izgradnju Nacionalnog rehabilitacijskog centra za osobe s </w:t>
      </w:r>
      <w:r w:rsidR="003E6C7C">
        <w:t xml:space="preserve">bolestima kralježnične moždine, potraživanja za povrat poreza i prireza, potraživanja od HZZO-a za refundaciju plaća pripravnika, te za plaćene </w:t>
      </w:r>
      <w:r w:rsidR="00FB2146">
        <w:t xml:space="preserve">predujmove za </w:t>
      </w:r>
      <w:r w:rsidR="003E6C7C">
        <w:t>seminare koji zbog okolnosti nisu održani.</w:t>
      </w:r>
    </w:p>
    <w:p w:rsidR="003E6C7C" w:rsidRDefault="003E6C7C" w:rsidP="00231633">
      <w:pPr>
        <w:jc w:val="both"/>
      </w:pPr>
      <w:r w:rsidRPr="003E6C7C">
        <w:rPr>
          <w:b/>
        </w:rPr>
        <w:t>AOP – 144 – potraživanja za pomoći iz inozemstva i od subjekata unutar općeg proračuna</w:t>
      </w:r>
      <w:r>
        <w:t xml:space="preserve"> – bilježi povećanje za 4.802,4% ili za 10.975.958,00 kuna, a odnosi se na potraživanja iz Fondova EU vezano uz refundaciju sredstava po građevinsko-obrtničkim radovima na energetskoj obnovi objekata Bolnice.</w:t>
      </w:r>
    </w:p>
    <w:p w:rsidR="00231633" w:rsidRDefault="00231633" w:rsidP="00231633">
      <w:pPr>
        <w:jc w:val="both"/>
      </w:pPr>
      <w:r w:rsidRPr="004B107C">
        <w:rPr>
          <w:b/>
        </w:rPr>
        <w:t xml:space="preserve">AOP – </w:t>
      </w:r>
      <w:r>
        <w:rPr>
          <w:b/>
        </w:rPr>
        <w:t>15</w:t>
      </w:r>
      <w:r w:rsidR="00E472E6">
        <w:rPr>
          <w:b/>
        </w:rPr>
        <w:t>3</w:t>
      </w:r>
      <w:r w:rsidRPr="004B107C">
        <w:rPr>
          <w:b/>
        </w:rPr>
        <w:t xml:space="preserve"> – </w:t>
      </w:r>
      <w:r>
        <w:rPr>
          <w:b/>
        </w:rPr>
        <w:t>Potraživanja za upravne i administrativne pristojbe, pristojbe po posebnim propisima i naknade</w:t>
      </w:r>
      <w:r w:rsidRPr="004B107C">
        <w:rPr>
          <w:b/>
        </w:rPr>
        <w:t xml:space="preserve"> –</w:t>
      </w:r>
      <w:r w:rsidRPr="004B107C">
        <w:t xml:space="preserve"> </w:t>
      </w:r>
      <w:r w:rsidR="001C6D23">
        <w:t xml:space="preserve">bilježi smanjenje u odnosu na prethodnu godinu za 51,4% ili za 364.642,00 - </w:t>
      </w:r>
      <w:r w:rsidR="00EB6E1D">
        <w:t xml:space="preserve">potraživanja </w:t>
      </w:r>
      <w:r w:rsidR="002D6EF0">
        <w:t xml:space="preserve">za dopunsko osiguranje </w:t>
      </w:r>
      <w:r w:rsidR="00EB6E1D">
        <w:t>su u padu u odnosu na stanje početkom godine –</w:t>
      </w:r>
      <w:r w:rsidR="002D6EF0">
        <w:t xml:space="preserve"> </w:t>
      </w:r>
      <w:r w:rsidR="00FB2146">
        <w:t>manje pacijenata zbog smanjenog obima fakturiranja.</w:t>
      </w:r>
    </w:p>
    <w:p w:rsidR="001C6D23" w:rsidRDefault="001C6D23" w:rsidP="00231633">
      <w:pPr>
        <w:jc w:val="both"/>
      </w:pPr>
      <w:r w:rsidRPr="00896547">
        <w:rPr>
          <w:b/>
        </w:rPr>
        <w:t>AOP – 154 – Potraživanje za prihode od prodaje proizvoda i robe te pruženih usluga</w:t>
      </w:r>
      <w:r>
        <w:t xml:space="preserve"> – povećani za 74,8% u odnosu na prethodnu godinu, a povećanje se odnosi na </w:t>
      </w:r>
      <w:r w:rsidR="00FB2146">
        <w:t>potraživanje</w:t>
      </w:r>
      <w:r>
        <w:t xml:space="preserve"> dvojice liječnika koji su raskinuli radni odnos a sa Bolnicom su imali sklopljen Ugovor o međusobnim pravima i obvezama za vrijeme i nakon specijalizacije iz fizikalne medicine i rehabilitacije. Budući su ranije raskinuli radni odnos isti moraju vratiti Bolnici troškove plaća i ostalih naknada.</w:t>
      </w:r>
    </w:p>
    <w:p w:rsidR="00231633" w:rsidRPr="00AA0F3F" w:rsidRDefault="00231633" w:rsidP="00231633">
      <w:pPr>
        <w:jc w:val="both"/>
      </w:pPr>
      <w:r w:rsidRPr="00AA0F3F">
        <w:rPr>
          <w:b/>
        </w:rPr>
        <w:t>AOP – 15</w:t>
      </w:r>
      <w:r w:rsidR="00AA0F3F" w:rsidRPr="00AA0F3F">
        <w:rPr>
          <w:b/>
        </w:rPr>
        <w:t>5</w:t>
      </w:r>
      <w:r w:rsidRPr="00AA0F3F">
        <w:rPr>
          <w:b/>
        </w:rPr>
        <w:t xml:space="preserve"> – Potraživanja za prihode </w:t>
      </w:r>
      <w:r w:rsidR="00EB6E1D" w:rsidRPr="00AA0F3F">
        <w:rPr>
          <w:b/>
        </w:rPr>
        <w:t>iz proračuna</w:t>
      </w:r>
      <w:r w:rsidRPr="00AA0F3F">
        <w:rPr>
          <w:b/>
        </w:rPr>
        <w:t xml:space="preserve"> –</w:t>
      </w:r>
      <w:r w:rsidRPr="00AA0F3F">
        <w:t xml:space="preserve"> </w:t>
      </w:r>
      <w:r w:rsidR="00EB6E1D" w:rsidRPr="00AA0F3F">
        <w:t xml:space="preserve">odnosi se na potraživanja s osnove osnovnog osiguranja od HZZO-a </w:t>
      </w:r>
      <w:r w:rsidR="00AA0F3F" w:rsidRPr="00AA0F3F">
        <w:t>(neizvršenje limita za 2020. godinu, slabije punjenje bolničkih kapaciteta, posljedično tome i manji iznos potraživanja)</w:t>
      </w:r>
      <w:r w:rsidR="00EB6E1D" w:rsidRPr="00AA0F3F">
        <w:t>.</w:t>
      </w:r>
      <w:r w:rsidR="00FB2146">
        <w:t xml:space="preserve"> Do sada nije isknjiženo potraživanje iz knjigovodstvenih evidencija temeljem Zapisnika za 2019. godinu, a odnosi se na prekoračenje limita za 2019. godinu. Upravno vijeće nije prihvatilo rasknjiženje po Zapisniku.</w:t>
      </w:r>
    </w:p>
    <w:p w:rsidR="00231633" w:rsidRDefault="00231633" w:rsidP="00231633">
      <w:pPr>
        <w:jc w:val="both"/>
      </w:pPr>
      <w:r w:rsidRPr="00AA0F3F">
        <w:rPr>
          <w:b/>
        </w:rPr>
        <w:t xml:space="preserve">AOP – 157 – </w:t>
      </w:r>
      <w:r w:rsidR="00AA0F3F" w:rsidRPr="00AA0F3F">
        <w:rPr>
          <w:b/>
        </w:rPr>
        <w:t>Ispravak vrijednosti potraživanja</w:t>
      </w:r>
      <w:r w:rsidRPr="00AA0F3F">
        <w:t xml:space="preserve"> – evidentirani iznos na kraju godine iznosi </w:t>
      </w:r>
      <w:r w:rsidR="00AA0F3F" w:rsidRPr="00AA0F3F">
        <w:t>914.983,00</w:t>
      </w:r>
      <w:r w:rsidRPr="00AA0F3F">
        <w:t xml:space="preserve"> kuna, </w:t>
      </w:r>
      <w:r w:rsidR="00AA0F3F" w:rsidRPr="00AA0F3F">
        <w:t>veći</w:t>
      </w:r>
      <w:r w:rsidRPr="00AA0F3F">
        <w:t xml:space="preserve"> je u odnosu na stanje 01.01.20</w:t>
      </w:r>
      <w:r w:rsidR="00AA0F3F" w:rsidRPr="00AA0F3F">
        <w:t>20</w:t>
      </w:r>
      <w:r w:rsidRPr="00AA0F3F">
        <w:t xml:space="preserve">. godine za </w:t>
      </w:r>
      <w:r w:rsidR="00AA0F3F" w:rsidRPr="00AA0F3F">
        <w:t>494,6</w:t>
      </w:r>
      <w:r w:rsidRPr="00AA0F3F">
        <w:t xml:space="preserve">% ili za </w:t>
      </w:r>
      <w:r w:rsidR="00AA0F3F" w:rsidRPr="00AA0F3F">
        <w:t>761.097,00</w:t>
      </w:r>
      <w:r w:rsidRPr="00AA0F3F">
        <w:t xml:space="preserve"> kuna, a odnosi se </w:t>
      </w:r>
      <w:r w:rsidR="00AA0F3F" w:rsidRPr="00AA0F3F">
        <w:t>povećani iznos potraživanja vezan uz zaduženje liječnika koji su raskinuli radni odnos a sa Bolnicom su imali sklopljen Ugovor o međusobnim pravima i obvezama za vrijeme i nakon specijalizacije iz fizikalne medicine i rehabilitacije</w:t>
      </w:r>
      <w:r w:rsidRPr="00AA0F3F">
        <w:t>.</w:t>
      </w:r>
    </w:p>
    <w:p w:rsidR="00CB3D2B" w:rsidRPr="00AA0F3F" w:rsidRDefault="00AA0F3F" w:rsidP="00231633">
      <w:pPr>
        <w:jc w:val="both"/>
      </w:pPr>
      <w:r w:rsidRPr="00CB3D2B">
        <w:rPr>
          <w:b/>
        </w:rPr>
        <w:lastRenderedPageBreak/>
        <w:t xml:space="preserve">AOP – </w:t>
      </w:r>
      <w:r w:rsidR="00CB3D2B" w:rsidRPr="00CB3D2B">
        <w:rPr>
          <w:b/>
        </w:rPr>
        <w:t>160</w:t>
      </w:r>
      <w:r w:rsidRPr="00CB3D2B">
        <w:rPr>
          <w:b/>
        </w:rPr>
        <w:t xml:space="preserve"> – Potraživanja od prodaje proizvedene dugotrajne imovine</w:t>
      </w:r>
      <w:r>
        <w:t xml:space="preserve"> </w:t>
      </w:r>
      <w:r w:rsidR="00CB3D2B">
        <w:t>–</w:t>
      </w:r>
      <w:r>
        <w:t xml:space="preserve"> </w:t>
      </w:r>
      <w:r w:rsidR="00CB3D2B">
        <w:t>evidentirani iznos na kraju godine iznosi 95.339,00 kuna, manji je u odnosu na stanje 01.01.2020. godine za 36,4% ili za 54.571,00 kuna, a odnosi se na otplatu stanova (otkup se smanjuje svake godine).</w:t>
      </w:r>
    </w:p>
    <w:p w:rsidR="00231633" w:rsidRDefault="00231633" w:rsidP="00231633">
      <w:pPr>
        <w:jc w:val="both"/>
      </w:pPr>
      <w:r w:rsidRPr="00CB3D2B">
        <w:rPr>
          <w:b/>
        </w:rPr>
        <w:t xml:space="preserve">AOP – </w:t>
      </w:r>
      <w:r w:rsidR="00CB3D2B" w:rsidRPr="00CB3D2B">
        <w:rPr>
          <w:b/>
        </w:rPr>
        <w:t>164</w:t>
      </w:r>
      <w:r w:rsidRPr="00CB3D2B">
        <w:rPr>
          <w:b/>
        </w:rPr>
        <w:t xml:space="preserve"> – </w:t>
      </w:r>
      <w:r w:rsidR="00577F72" w:rsidRPr="00CB3D2B">
        <w:rPr>
          <w:b/>
        </w:rPr>
        <w:t>Rashodi budućih razdoblja i nedospjela naplata prihoda</w:t>
      </w:r>
      <w:r w:rsidRPr="00CB3D2B">
        <w:rPr>
          <w:b/>
        </w:rPr>
        <w:t xml:space="preserve"> –</w:t>
      </w:r>
      <w:r w:rsidRPr="00CB3D2B">
        <w:t xml:space="preserve"> </w:t>
      </w:r>
      <w:r w:rsidR="00CB3D2B" w:rsidRPr="00CB3D2B">
        <w:t xml:space="preserve">na dan 01.01.2020. godine stanje iznosi 370.528,00 kuna - </w:t>
      </w:r>
      <w:r w:rsidR="00577F72" w:rsidRPr="00CB3D2B">
        <w:t>odnosi se na plaćanje naknade za z</w:t>
      </w:r>
      <w:r w:rsidR="002D6EF0" w:rsidRPr="00CB3D2B">
        <w:t xml:space="preserve">aštitu voda po osnovi privremenog </w:t>
      </w:r>
      <w:r w:rsidR="00577F72" w:rsidRPr="00CB3D2B">
        <w:t>rješenja nadležnog tijela</w:t>
      </w:r>
      <w:r w:rsidR="00CB3D2B" w:rsidRPr="00CB3D2B">
        <w:t>, dok na kraju poslovne 2020. godine nemamo evidentirana knjižena na navedenoj poziciji.</w:t>
      </w:r>
      <w:r w:rsidR="00FB2146">
        <w:t xml:space="preserve"> Po konačnom obračunu za 2019. godinu evidentirana pretplata.</w:t>
      </w:r>
    </w:p>
    <w:p w:rsidR="00CB3D2B" w:rsidRPr="00CB3D2B" w:rsidRDefault="00CB3D2B" w:rsidP="00231633">
      <w:pPr>
        <w:jc w:val="both"/>
      </w:pPr>
      <w:r w:rsidRPr="0088546F">
        <w:rPr>
          <w:b/>
        </w:rPr>
        <w:t>AOP – 171 – Obveze za zaposlene</w:t>
      </w:r>
      <w:r>
        <w:t xml:space="preserve"> – evidentirani iznos na kraju godine iznosi 5.256.490,00 kuna, manji je u odnosu na stanje 01.01.2020. godine za 16,7% ili za 1.053.610,00 kuna</w:t>
      </w:r>
      <w:r w:rsidR="0088546F">
        <w:t xml:space="preserve"> (manji broj zaposlenih u odnosu na 01.01.2020. godine</w:t>
      </w:r>
      <w:r w:rsidR="00FB2146">
        <w:t xml:space="preserve"> – više odlazaka u mirovinu</w:t>
      </w:r>
      <w:r w:rsidR="0088546F">
        <w:t>).</w:t>
      </w:r>
    </w:p>
    <w:p w:rsidR="00577F72" w:rsidRDefault="00577F72" w:rsidP="00577F72">
      <w:pPr>
        <w:jc w:val="both"/>
      </w:pPr>
      <w:r w:rsidRPr="004B107C">
        <w:rPr>
          <w:b/>
        </w:rPr>
        <w:t xml:space="preserve">AOP – </w:t>
      </w:r>
      <w:r w:rsidR="0088546F">
        <w:rPr>
          <w:b/>
        </w:rPr>
        <w:t>17</w:t>
      </w:r>
      <w:r w:rsidR="005B70AD">
        <w:rPr>
          <w:b/>
        </w:rPr>
        <w:t>3</w:t>
      </w:r>
      <w:r w:rsidRPr="004B107C">
        <w:rPr>
          <w:b/>
        </w:rPr>
        <w:t xml:space="preserve"> – </w:t>
      </w:r>
      <w:r>
        <w:rPr>
          <w:b/>
        </w:rPr>
        <w:t xml:space="preserve">Obveze </w:t>
      </w:r>
      <w:r w:rsidR="00A06A99">
        <w:rPr>
          <w:b/>
        </w:rPr>
        <w:t>za financijske rashod</w:t>
      </w:r>
      <w:r w:rsidR="00FB2146">
        <w:rPr>
          <w:b/>
        </w:rPr>
        <w:t>e</w:t>
      </w:r>
      <w:r>
        <w:rPr>
          <w:b/>
        </w:rPr>
        <w:t xml:space="preserve"> </w:t>
      </w:r>
      <w:r w:rsidRPr="004B107C">
        <w:rPr>
          <w:b/>
        </w:rPr>
        <w:t xml:space="preserve"> –</w:t>
      </w:r>
      <w:r w:rsidRPr="004B107C">
        <w:t xml:space="preserve"> </w:t>
      </w:r>
      <w:r w:rsidR="0088546F">
        <w:t xml:space="preserve">u odnosu na stanje 01.01.2020. godine obveze povećane za </w:t>
      </w:r>
      <w:r w:rsidR="00A06A99">
        <w:t>916,80</w:t>
      </w:r>
      <w:r w:rsidR="0088546F">
        <w:t>% ili za 133.</w:t>
      </w:r>
      <w:r w:rsidR="00A06A99">
        <w:t>86</w:t>
      </w:r>
      <w:r w:rsidR="0088546F">
        <w:t xml:space="preserve">6,00 kuna, a odnosi se na obveze za izdane Garancije (Upravni ugovor s Poreznom upravom), interkalarne kamate po kreditima HBOR-a i Zagrebačke banke. Prethodne </w:t>
      </w:r>
      <w:r>
        <w:t xml:space="preserve"> 2019. godine podmirena je zadnja rata (glavnica) za otplatu kredita za hidroterapiju Terme, te su s tog osnova </w:t>
      </w:r>
      <w:r w:rsidR="0088546F">
        <w:t>bile</w:t>
      </w:r>
      <w:r>
        <w:t xml:space="preserve"> manje kamate na ostatak duga</w:t>
      </w:r>
      <w:r w:rsidR="0088546F">
        <w:t xml:space="preserve"> na dan 01.01.2020. godine</w:t>
      </w:r>
      <w:r>
        <w:t>.</w:t>
      </w:r>
    </w:p>
    <w:p w:rsidR="0088546F" w:rsidRPr="00AF26C9" w:rsidRDefault="0088546F" w:rsidP="00577F72">
      <w:pPr>
        <w:jc w:val="both"/>
      </w:pPr>
      <w:r w:rsidRPr="00AF26C9">
        <w:rPr>
          <w:b/>
        </w:rPr>
        <w:t>AOP – 179 – obveze za kazne, naknade šteta i kapitalne pomoći</w:t>
      </w:r>
      <w:r w:rsidRPr="00AF26C9">
        <w:t xml:space="preserve"> – </w:t>
      </w:r>
      <w:r w:rsidR="00FB2146" w:rsidRPr="00AF26C9">
        <w:t>u 2019. godini evidentirana knjiženja za boravišnu pristoj</w:t>
      </w:r>
      <w:r w:rsidR="001D6F5D" w:rsidRPr="00AF26C9">
        <w:t>bu i obveze za ugovore o djelu. U 2020. godini napravljen ispravak i isto proknjiženo</w:t>
      </w:r>
      <w:r w:rsidR="00AF26C9" w:rsidRPr="00AF26C9">
        <w:t xml:space="preserve"> na ispravan konto.</w:t>
      </w:r>
      <w:r w:rsidR="00FB2146" w:rsidRPr="00AF26C9">
        <w:t xml:space="preserve"> </w:t>
      </w:r>
    </w:p>
    <w:p w:rsidR="00AA6F0F" w:rsidRDefault="00AA6F0F" w:rsidP="00577F72">
      <w:pPr>
        <w:jc w:val="both"/>
      </w:pPr>
      <w:r w:rsidRPr="00A06A99">
        <w:rPr>
          <w:b/>
        </w:rPr>
        <w:t>AOP – 180 – Ostale tekuće obveze</w:t>
      </w:r>
      <w:r>
        <w:t xml:space="preserve"> – bilježi povećanje u odnosu na stanje 01.01.2020. godine za 766% ili za 35.759.606,00 kuna, a odnosi se na obveze za porez na dodanu vrijednost u iznosu </w:t>
      </w:r>
      <w:r w:rsidR="001943F4">
        <w:t>6.446.792,17 kuna</w:t>
      </w:r>
      <w:r>
        <w:t>, obveze za manje izvršen rad prema HZZO-u u iznosu 33.391.333,63 kuna</w:t>
      </w:r>
      <w:r w:rsidR="001943F4">
        <w:t>, obveze za primljene jamčevine u iznosu 279.963,56 kuna, obveze za EU predujmove 143.969,03 kuna, obveze za stambenu pričuvu u iznosu 103.199,03 kuna, te ostalo na akontacije za liječenje.</w:t>
      </w:r>
    </w:p>
    <w:p w:rsidR="00577F72" w:rsidRPr="00EC2924" w:rsidRDefault="00577F72" w:rsidP="00577F72">
      <w:pPr>
        <w:jc w:val="both"/>
      </w:pPr>
      <w:r w:rsidRPr="00EC2924">
        <w:rPr>
          <w:b/>
        </w:rPr>
        <w:t xml:space="preserve">AOP – </w:t>
      </w:r>
      <w:r w:rsidR="005B70AD">
        <w:rPr>
          <w:b/>
        </w:rPr>
        <w:t>181</w:t>
      </w:r>
      <w:r w:rsidRPr="00EC2924">
        <w:rPr>
          <w:b/>
        </w:rPr>
        <w:t xml:space="preserve"> – Obveze za nabavu nefinancijske imovine  –</w:t>
      </w:r>
      <w:r w:rsidRPr="00EC2924">
        <w:t xml:space="preserve"> </w:t>
      </w:r>
      <w:r w:rsidR="00A06A99" w:rsidRPr="00EC2924">
        <w:t>bilježi povećanje u odnosu na stanje 01.01.2020. godine za 106,30% ili za 13.588.598,00 kuna</w:t>
      </w:r>
      <w:r w:rsidR="00EC2924" w:rsidRPr="00EC2924">
        <w:t>. I</w:t>
      </w:r>
      <w:r w:rsidRPr="00EC2924">
        <w:t>skazan</w:t>
      </w:r>
      <w:r w:rsidR="00EC2924" w:rsidRPr="00EC2924">
        <w:t>e</w:t>
      </w:r>
      <w:r w:rsidRPr="00EC2924">
        <w:t xml:space="preserve"> </w:t>
      </w:r>
      <w:r w:rsidR="00EC2924" w:rsidRPr="00EC2924">
        <w:t>su</w:t>
      </w:r>
      <w:r w:rsidRPr="00EC2924">
        <w:t xml:space="preserve"> obvez</w:t>
      </w:r>
      <w:r w:rsidR="00EC2924" w:rsidRPr="00EC2924">
        <w:t>e</w:t>
      </w:r>
      <w:r w:rsidRPr="00EC2924">
        <w:t xml:space="preserve"> za podmirenje radova </w:t>
      </w:r>
      <w:r w:rsidR="00EC2924" w:rsidRPr="00EC2924">
        <w:t xml:space="preserve">po </w:t>
      </w:r>
      <w:r w:rsidRPr="00EC2924">
        <w:t xml:space="preserve">energetskoj obnovi objekta Minerva, </w:t>
      </w:r>
      <w:r w:rsidR="00EC2924" w:rsidRPr="00EC2924">
        <w:t xml:space="preserve">Lovrina kupelj, Skup zgrada, </w:t>
      </w:r>
      <w:r w:rsidRPr="00EC2924">
        <w:t xml:space="preserve">stručni nadzor, kao i ostale obveze za radove obavljene na </w:t>
      </w:r>
      <w:r w:rsidR="002D6EF0" w:rsidRPr="00EC2924">
        <w:t>dodatnim</w:t>
      </w:r>
      <w:r w:rsidRPr="00EC2924">
        <w:t xml:space="preserve"> ulaganjima na građevinskim objektima.</w:t>
      </w:r>
    </w:p>
    <w:p w:rsidR="00577F72" w:rsidRDefault="00577F72" w:rsidP="00577F72">
      <w:pPr>
        <w:jc w:val="both"/>
      </w:pPr>
      <w:r w:rsidRPr="004B107C">
        <w:rPr>
          <w:b/>
        </w:rPr>
        <w:t xml:space="preserve">AOP – </w:t>
      </w:r>
      <w:r>
        <w:rPr>
          <w:b/>
        </w:rPr>
        <w:t>19</w:t>
      </w:r>
      <w:r w:rsidR="00EC2924">
        <w:rPr>
          <w:b/>
        </w:rPr>
        <w:t>8</w:t>
      </w:r>
      <w:r w:rsidRPr="004B107C">
        <w:rPr>
          <w:b/>
        </w:rPr>
        <w:t xml:space="preserve"> – </w:t>
      </w:r>
      <w:r>
        <w:rPr>
          <w:b/>
        </w:rPr>
        <w:t xml:space="preserve">Obveze za kredite i zajmove </w:t>
      </w:r>
      <w:r w:rsidRPr="004B107C">
        <w:rPr>
          <w:b/>
        </w:rPr>
        <w:t xml:space="preserve"> –</w:t>
      </w:r>
      <w:r w:rsidRPr="004B107C">
        <w:t xml:space="preserve"> </w:t>
      </w:r>
      <w:r w:rsidR="00EC2924">
        <w:t>evidentirani iznos na kraju poslovne 2020. godine iznosi 53.459.941,00 kuna, a odnosi se na obveze po ESIF kreditima (32.591.515,00 kuna), kreditima poslovne Zagrebačke banke (20.868.426,00 kuna) za zatvaranje financijske konstrukcije vezano uz energetsku obnovu objekata Bolnice (objekt Minerva, objekt Lovrina kupelj, Skup zgrada).</w:t>
      </w:r>
    </w:p>
    <w:p w:rsidR="005B5459" w:rsidRDefault="005B5459" w:rsidP="00577F72">
      <w:pPr>
        <w:jc w:val="both"/>
      </w:pPr>
      <w:r w:rsidRPr="005B5459">
        <w:rPr>
          <w:b/>
        </w:rPr>
        <w:t>AOP – 227 – Odgođeno plaćanje rashoda</w:t>
      </w:r>
      <w:r>
        <w:t xml:space="preserve"> – evidentiran iznos od 1.544,00 kuna odnosi se na nefakturiranu robu (roba primljena, e-račun nije dostavljen).</w:t>
      </w:r>
    </w:p>
    <w:p w:rsidR="00C43A1C" w:rsidRDefault="00C43A1C" w:rsidP="00C43A1C">
      <w:pPr>
        <w:jc w:val="both"/>
      </w:pPr>
      <w:r w:rsidRPr="004B107C">
        <w:rPr>
          <w:b/>
        </w:rPr>
        <w:t xml:space="preserve">AOP – </w:t>
      </w:r>
      <w:r w:rsidR="005B70AD">
        <w:rPr>
          <w:b/>
        </w:rPr>
        <w:t>251</w:t>
      </w:r>
      <w:r w:rsidRPr="004B107C">
        <w:rPr>
          <w:b/>
        </w:rPr>
        <w:t xml:space="preserve"> – </w:t>
      </w:r>
      <w:r>
        <w:rPr>
          <w:b/>
        </w:rPr>
        <w:t xml:space="preserve">Izvanbilančni zapisi </w:t>
      </w:r>
      <w:r w:rsidRPr="004B107C">
        <w:rPr>
          <w:b/>
        </w:rPr>
        <w:t xml:space="preserve"> –</w:t>
      </w:r>
      <w:r w:rsidRPr="004B107C">
        <w:t xml:space="preserve"> </w:t>
      </w:r>
      <w:r>
        <w:t>evidentirana su dana i primljena jamstva za kredite za energetsku obnovu bolničkih zgrada, primljena jamstva (bankarske garancije, zadužnice, novčani polozi) po osnovi  sklopljenih ugovora (za dobro izvršenje ugovora).</w:t>
      </w:r>
    </w:p>
    <w:p w:rsidR="00FE4FD2" w:rsidRDefault="00FE4FD2" w:rsidP="00DC3A01"/>
    <w:p w:rsidR="00381002" w:rsidRPr="002C04B1" w:rsidRDefault="00381002" w:rsidP="00381002">
      <w:pPr>
        <w:pStyle w:val="Naslov2"/>
        <w:rPr>
          <w:b/>
        </w:rPr>
      </w:pPr>
      <w:r w:rsidRPr="002C04B1">
        <w:rPr>
          <w:b/>
        </w:rPr>
        <w:lastRenderedPageBreak/>
        <w:t>Rezultat poslovanja iskazan na PR-RAS-u i Bilanci</w:t>
      </w:r>
    </w:p>
    <w:p w:rsidR="00F13BCC" w:rsidRPr="00381002" w:rsidRDefault="00DC3A01" w:rsidP="00893350">
      <w:pPr>
        <w:jc w:val="both"/>
      </w:pPr>
      <w:r w:rsidRPr="00381002">
        <w:t xml:space="preserve">U obrascu PR-RAS iskazan je </w:t>
      </w:r>
      <w:r w:rsidR="00195896" w:rsidRPr="00381002">
        <w:t>manjak</w:t>
      </w:r>
      <w:r w:rsidRPr="00381002">
        <w:t xml:space="preserve"> prihoda poslovanja tekuće proračunske godine </w:t>
      </w:r>
      <w:r w:rsidR="007145A1" w:rsidRPr="00381002">
        <w:t xml:space="preserve">u iznosu </w:t>
      </w:r>
      <w:r w:rsidR="00195896" w:rsidRPr="00381002">
        <w:t>1.727.589,00</w:t>
      </w:r>
      <w:r w:rsidR="007145A1" w:rsidRPr="00381002">
        <w:t xml:space="preserve"> kuna, preneseni višak prihoda poslovanja iz prethodne godine </w:t>
      </w:r>
      <w:r w:rsidR="00FE4FD2" w:rsidRPr="00381002">
        <w:t xml:space="preserve">iznosi </w:t>
      </w:r>
      <w:r w:rsidR="00195896" w:rsidRPr="00381002">
        <w:t>15.122.720,00</w:t>
      </w:r>
      <w:r w:rsidR="007145A1" w:rsidRPr="00381002">
        <w:t xml:space="preserve"> kuna. </w:t>
      </w:r>
      <w:r w:rsidR="00FE4FD2" w:rsidRPr="00381002">
        <w:t>Na n</w:t>
      </w:r>
      <w:r w:rsidR="007145A1" w:rsidRPr="00381002">
        <w:t>aveden</w:t>
      </w:r>
      <w:r w:rsidR="00FE4FD2" w:rsidRPr="00381002">
        <w:t>om</w:t>
      </w:r>
      <w:r w:rsidR="007145A1" w:rsidRPr="00381002">
        <w:t xml:space="preserve"> rezultat</w:t>
      </w:r>
      <w:r w:rsidR="00FE4FD2" w:rsidRPr="00381002">
        <w:t xml:space="preserve">u napravljena je korekcija </w:t>
      </w:r>
      <w:r w:rsidR="00381002" w:rsidRPr="00381002">
        <w:t xml:space="preserve">(umanjenje) </w:t>
      </w:r>
      <w:r w:rsidR="00FE4FD2" w:rsidRPr="00381002">
        <w:t>(3/6) za kapitalne prijenos</w:t>
      </w:r>
      <w:r w:rsidR="007145A1" w:rsidRPr="00381002">
        <w:t xml:space="preserve">e </w:t>
      </w:r>
      <w:r w:rsidR="00FE4FD2" w:rsidRPr="00381002">
        <w:t xml:space="preserve">u iznosu 37.114.249,00 kuna, pa ukupni manjak prihoda poslovanja nakon korekcije iznosi </w:t>
      </w:r>
      <w:r w:rsidR="00381002" w:rsidRPr="00381002">
        <w:t>23.719.118,00</w:t>
      </w:r>
      <w:r w:rsidR="00FE4FD2" w:rsidRPr="00381002">
        <w:t xml:space="preserve"> kuna</w:t>
      </w:r>
      <w:r w:rsidR="00381002" w:rsidRPr="00381002">
        <w:t xml:space="preserve"> (Bilanca AOP 243)</w:t>
      </w:r>
      <w:r w:rsidR="00FE4FD2" w:rsidRPr="00381002">
        <w:t xml:space="preserve">. </w:t>
      </w:r>
    </w:p>
    <w:p w:rsidR="00381002" w:rsidRPr="00381002" w:rsidRDefault="00381002" w:rsidP="00893350">
      <w:pPr>
        <w:jc w:val="both"/>
      </w:pPr>
      <w:r w:rsidRPr="00381002">
        <w:t>U obrascu PR-RAS m</w:t>
      </w:r>
      <w:r w:rsidR="007145A1" w:rsidRPr="00381002">
        <w:t xml:space="preserve">anjak prihoda od nefinancijske imovine tekuće godine </w:t>
      </w:r>
      <w:r w:rsidRPr="00381002">
        <w:t>iznosi</w:t>
      </w:r>
      <w:r w:rsidR="007145A1" w:rsidRPr="00381002">
        <w:t xml:space="preserve"> </w:t>
      </w:r>
      <w:r w:rsidR="00F13BCC" w:rsidRPr="00381002">
        <w:t xml:space="preserve">116.876.733,00 kuna, iznos </w:t>
      </w:r>
      <w:r w:rsidR="007145A1" w:rsidRPr="00381002">
        <w:t>prenesen</w:t>
      </w:r>
      <w:r w:rsidR="00893350" w:rsidRPr="00381002">
        <w:t>og</w:t>
      </w:r>
      <w:r w:rsidR="007145A1" w:rsidRPr="00381002">
        <w:t xml:space="preserve"> </w:t>
      </w:r>
      <w:r w:rsidR="00F13BCC" w:rsidRPr="00381002">
        <w:t>manjka</w:t>
      </w:r>
      <w:r w:rsidR="007145A1" w:rsidRPr="00381002">
        <w:t xml:space="preserve"> prihoda od nefinancijske imovine </w:t>
      </w:r>
      <w:r w:rsidRPr="00381002">
        <w:t>iznosi</w:t>
      </w:r>
      <w:r w:rsidR="007145A1" w:rsidRPr="00381002">
        <w:t xml:space="preserve"> </w:t>
      </w:r>
      <w:r w:rsidR="00F13BCC" w:rsidRPr="00381002">
        <w:t>24.360.182,00</w:t>
      </w:r>
      <w:r w:rsidR="007145A1" w:rsidRPr="00381002">
        <w:t xml:space="preserve"> kuna</w:t>
      </w:r>
      <w:r w:rsidRPr="00381002">
        <w:t>.</w:t>
      </w:r>
      <w:r w:rsidR="00893350" w:rsidRPr="00381002">
        <w:t xml:space="preserve"> </w:t>
      </w:r>
      <w:r w:rsidR="00F13BCC" w:rsidRPr="00381002">
        <w:t xml:space="preserve">Ukupni manjak od nefinancijske imovine </w:t>
      </w:r>
      <w:r w:rsidRPr="00381002">
        <w:t xml:space="preserve"> iznosi 141.236.915,00 kuna </w:t>
      </w:r>
      <w:r w:rsidR="00F13BCC" w:rsidRPr="00381002">
        <w:t xml:space="preserve">korigirani (umanjen) je za kapitalne prijenose 37.114.249,00 kuna, pa iznosi 104.122.666,00 kuna (Bilanca AOP </w:t>
      </w:r>
      <w:r w:rsidRPr="00381002">
        <w:t>244</w:t>
      </w:r>
      <w:r w:rsidR="00F13BCC" w:rsidRPr="00381002">
        <w:t>)</w:t>
      </w:r>
      <w:r w:rsidRPr="00381002">
        <w:t>.</w:t>
      </w:r>
      <w:r w:rsidR="00F13BCC" w:rsidRPr="00381002">
        <w:t xml:space="preserve"> </w:t>
      </w:r>
    </w:p>
    <w:p w:rsidR="007145A1" w:rsidRPr="00381002" w:rsidRDefault="00381002" w:rsidP="00893350">
      <w:pPr>
        <w:jc w:val="both"/>
      </w:pPr>
      <w:r w:rsidRPr="00381002">
        <w:t>U obrascu PR-RAS v</w:t>
      </w:r>
      <w:r w:rsidR="00F13BCC" w:rsidRPr="00381002">
        <w:t>išak prihoda poslovanja od financijske imovine tekuće godine iznosi 53.459.941,00 kuna i umanjen je za preneseni manjak prihoda u iznosu 933.238,00 kuna, pa korigirani višak prihoda od financijske im</w:t>
      </w:r>
      <w:r w:rsidRPr="00381002">
        <w:t>ovine iznosi 52.526.702,00 kuna (Bilanca AOP 238).</w:t>
      </w:r>
    </w:p>
    <w:p w:rsidR="00D74817" w:rsidRDefault="00D74817" w:rsidP="00F7020C">
      <w:pPr>
        <w:pStyle w:val="Naslov1"/>
        <w:spacing w:line="240" w:lineRule="auto"/>
        <w:ind w:left="708"/>
      </w:pPr>
      <w:r w:rsidRPr="002E60B0">
        <w:t>BILJEŠKE UZ IZVJEŠTAJ O PROMJENAMA U VRIJEDNOSTI I OBUJMU IMOVINE I OBVEZA – OBRAZAC P-VRIO</w:t>
      </w:r>
    </w:p>
    <w:p w:rsidR="00D74817" w:rsidRPr="00693F07" w:rsidRDefault="00D74817" w:rsidP="00D74817">
      <w:pPr>
        <w:spacing w:line="240" w:lineRule="auto"/>
      </w:pPr>
    </w:p>
    <w:p w:rsidR="00D74817" w:rsidRDefault="00D74817" w:rsidP="00D74817">
      <w:pPr>
        <w:spacing w:line="240" w:lineRule="auto"/>
        <w:jc w:val="both"/>
      </w:pPr>
      <w:r w:rsidRPr="00A66382">
        <w:rPr>
          <w:b/>
        </w:rPr>
        <w:t xml:space="preserve">AOP – </w:t>
      </w:r>
      <w:r>
        <w:rPr>
          <w:b/>
        </w:rPr>
        <w:t>018</w:t>
      </w:r>
      <w:r w:rsidRPr="00A66382">
        <w:rPr>
          <w:b/>
        </w:rPr>
        <w:t xml:space="preserve"> – </w:t>
      </w:r>
      <w:r>
        <w:rPr>
          <w:b/>
        </w:rPr>
        <w:t>Promjene u obujmu imovine</w:t>
      </w:r>
      <w:r>
        <w:t xml:space="preserve"> – </w:t>
      </w:r>
      <w:r w:rsidR="006D7504">
        <w:t xml:space="preserve">evidentirano </w:t>
      </w:r>
      <w:r w:rsidR="00381002">
        <w:t>smanjenje</w:t>
      </w:r>
      <w:r w:rsidR="006D7504">
        <w:t xml:space="preserve"> dugotrajne imovine </w:t>
      </w:r>
      <w:r w:rsidR="00195896">
        <w:t xml:space="preserve">odnosi se na </w:t>
      </w:r>
      <w:r w:rsidR="00381002">
        <w:t>isknjiženje</w:t>
      </w:r>
      <w:r w:rsidR="007F6481">
        <w:t xml:space="preserve"> </w:t>
      </w:r>
      <w:r w:rsidR="00381002">
        <w:t>nefinancijske imovine</w:t>
      </w:r>
      <w:r w:rsidR="00195896">
        <w:t xml:space="preserve"> bez sadašnje vrijednosti</w:t>
      </w:r>
      <w:r w:rsidR="00381002">
        <w:t xml:space="preserve"> (rashodi)</w:t>
      </w:r>
      <w:r w:rsidR="00195896">
        <w:t>.</w:t>
      </w:r>
    </w:p>
    <w:p w:rsidR="00FF3326" w:rsidRDefault="006D7504" w:rsidP="006D7504">
      <w:pPr>
        <w:spacing w:line="240" w:lineRule="auto"/>
        <w:jc w:val="both"/>
      </w:pPr>
      <w:r w:rsidRPr="00A66382">
        <w:rPr>
          <w:b/>
        </w:rPr>
        <w:t xml:space="preserve">AOP – </w:t>
      </w:r>
      <w:r>
        <w:rPr>
          <w:b/>
        </w:rPr>
        <w:t>032</w:t>
      </w:r>
      <w:r w:rsidRPr="00A66382">
        <w:rPr>
          <w:b/>
        </w:rPr>
        <w:t xml:space="preserve"> – </w:t>
      </w:r>
      <w:r>
        <w:rPr>
          <w:b/>
        </w:rPr>
        <w:t>Potraživanja za prihode poslovanja</w:t>
      </w:r>
      <w:r w:rsidR="00381002">
        <w:t xml:space="preserve"> – povećanje</w:t>
      </w:r>
      <w:r>
        <w:t xml:space="preserve"> </w:t>
      </w:r>
      <w:r w:rsidR="00B062E6">
        <w:t xml:space="preserve">u iznosu od 78,00 kuna </w:t>
      </w:r>
      <w:r>
        <w:t xml:space="preserve">se odnosi na </w:t>
      </w:r>
      <w:r w:rsidR="00B062E6">
        <w:t xml:space="preserve">više naplaćena potraživanja za koje nije tražen povrat, dok se smanjenje u iznosu 35.087,00 kuna odnosi na </w:t>
      </w:r>
      <w:r>
        <w:t xml:space="preserve">otpis nenaplativih potraživanja od kupaca (Odluka Upravnog vijeća br. </w:t>
      </w:r>
      <w:r w:rsidR="00FF3506">
        <w:t>01-1478/3-2020</w:t>
      </w:r>
      <w:r>
        <w:t>.</w:t>
      </w:r>
      <w:r w:rsidR="00FF3506">
        <w:t xml:space="preserve"> od 30.11.2020.</w:t>
      </w:r>
      <w:r>
        <w:t xml:space="preserve"> godine).</w:t>
      </w:r>
    </w:p>
    <w:p w:rsidR="003D5C49" w:rsidRPr="00F76254" w:rsidRDefault="003D5C49" w:rsidP="00BE783D">
      <w:pPr>
        <w:pStyle w:val="Naslov1"/>
        <w:spacing w:line="240" w:lineRule="auto"/>
      </w:pPr>
      <w:r w:rsidRPr="00F76254">
        <w:t>BILJEŠKE UZ „IZVJEŠTAJ O OBVEZAMA“ ZA RAZDOBLJE OD 1. SIJEČNJA DO 3</w:t>
      </w:r>
      <w:r w:rsidR="00C26934">
        <w:t>1</w:t>
      </w:r>
      <w:r w:rsidRPr="00F76254">
        <w:t xml:space="preserve">. </w:t>
      </w:r>
      <w:r w:rsidR="00C26934">
        <w:t>PROSINCA</w:t>
      </w:r>
      <w:r w:rsidR="00BD11CF">
        <w:t xml:space="preserve"> </w:t>
      </w:r>
      <w:r w:rsidRPr="00F76254">
        <w:t>20</w:t>
      </w:r>
      <w:r w:rsidR="007F6481">
        <w:t>20</w:t>
      </w:r>
      <w:r w:rsidRPr="00F76254">
        <w:t>. GODINE</w:t>
      </w:r>
    </w:p>
    <w:p w:rsidR="003D5C49" w:rsidRPr="00507BAD" w:rsidRDefault="003D5C49" w:rsidP="00BE783D">
      <w:pPr>
        <w:spacing w:line="240" w:lineRule="auto"/>
      </w:pPr>
    </w:p>
    <w:p w:rsidR="00BD11CF" w:rsidRDefault="003D5C49" w:rsidP="00BE783D">
      <w:pPr>
        <w:spacing w:line="240" w:lineRule="auto"/>
        <w:jc w:val="both"/>
      </w:pPr>
      <w:r w:rsidRPr="00507BAD">
        <w:rPr>
          <w:b/>
        </w:rPr>
        <w:t xml:space="preserve">AOP – 001 – Stanje obveza na početku izvještajnog razdoblja – </w:t>
      </w:r>
      <w:r w:rsidRPr="00507BAD">
        <w:t xml:space="preserve">iznosi </w:t>
      </w:r>
      <w:r w:rsidR="007F6481">
        <w:t>28.322.577,00</w:t>
      </w:r>
      <w:r w:rsidRPr="00507BAD">
        <w:t xml:space="preserve"> kn, dok na kraju izvještajnog razdoblja (AOP – 0</w:t>
      </w:r>
      <w:r w:rsidR="00DB27F0">
        <w:t>36</w:t>
      </w:r>
      <w:r w:rsidRPr="00507BAD">
        <w:t xml:space="preserve">) iznosi </w:t>
      </w:r>
      <w:r w:rsidR="007F6481">
        <w:t>130.180.611,00</w:t>
      </w:r>
      <w:r w:rsidR="00BD11CF">
        <w:t xml:space="preserve"> kuna. Pokazatelji ukazuju na </w:t>
      </w:r>
      <w:r w:rsidR="007F6481">
        <w:t>povećanje</w:t>
      </w:r>
      <w:r w:rsidR="00BD11CF">
        <w:t xml:space="preserve"> obveza za </w:t>
      </w:r>
      <w:r w:rsidR="007F6481">
        <w:t>101.858.034,00</w:t>
      </w:r>
      <w:r w:rsidR="00BD11CF">
        <w:t xml:space="preserve"> kuna ili </w:t>
      </w:r>
      <w:r w:rsidR="007F6481">
        <w:t>359,63</w:t>
      </w:r>
      <w:r w:rsidR="00BD11CF">
        <w:t>%.</w:t>
      </w:r>
      <w:r w:rsidR="00DB27F0">
        <w:t xml:space="preserve"> </w:t>
      </w:r>
      <w:r w:rsidR="007F6481">
        <w:t>Najveći dio obveza odnosi se na obveze prema dobavljačima za radove na energetskoj obnovi objekata Bolnice, obveze prema zaposlenima, obveze prema</w:t>
      </w:r>
      <w:r w:rsidR="007F3F27">
        <w:t xml:space="preserve"> bankama, te obveze za manje izvršen rad prama HZZO-u. </w:t>
      </w:r>
      <w:r w:rsidR="007F6481">
        <w:t>Evidentirane dospjele obveze</w:t>
      </w:r>
      <w:r w:rsidR="00BD11CF">
        <w:t xml:space="preserve"> </w:t>
      </w:r>
      <w:r w:rsidR="007F6481">
        <w:t xml:space="preserve">(AOP 037) iznose 22.882.183,00 kuna, a odnose se na obveze za živežne namirnice u iznosu 412.929,00 kuna, obveze za materijalne rashode u iznosu 370.529,00 kuna, obveze za usluge u iznosu 60.822,00 kuna, te obveze za </w:t>
      </w:r>
      <w:r w:rsidR="00B062E6">
        <w:t>dodatna ulaganja na građevinskim objektima – energetska obnova Bolničkih zgrada u iznosu 22.037.903,00 kuna.</w:t>
      </w:r>
    </w:p>
    <w:p w:rsidR="00DB27F0" w:rsidRDefault="00BD11CF" w:rsidP="00BE783D">
      <w:pPr>
        <w:spacing w:line="240" w:lineRule="auto"/>
        <w:jc w:val="both"/>
      </w:pPr>
      <w:r w:rsidRPr="00936034">
        <w:rPr>
          <w:b/>
        </w:rPr>
        <w:t>AOP – 019 – Podmirene obveze u izvještajnom razdoblju</w:t>
      </w:r>
      <w:r>
        <w:t xml:space="preserve"> – evidentirane su u iznosu </w:t>
      </w:r>
      <w:r w:rsidR="007F3F27">
        <w:t>237.368.271,00</w:t>
      </w:r>
      <w:r>
        <w:t xml:space="preserve"> kuna</w:t>
      </w:r>
      <w:r w:rsidR="00B062E6">
        <w:t>.</w:t>
      </w:r>
      <w:r>
        <w:t xml:space="preserve"> </w:t>
      </w:r>
      <w:r w:rsidR="00B062E6">
        <w:t>Z</w:t>
      </w:r>
      <w:r>
        <w:t xml:space="preserve">a podmirenje međusobnih obveza proračunskih korisnika u iznosu </w:t>
      </w:r>
      <w:r w:rsidR="007F3F27">
        <w:t>254.967,00</w:t>
      </w:r>
      <w:r>
        <w:t xml:space="preserve"> kuna, za rashode poslovanja u iznosu </w:t>
      </w:r>
      <w:r w:rsidR="007F3F27">
        <w:t>154.054.053,00</w:t>
      </w:r>
      <w:r>
        <w:t xml:space="preserve"> kuna (prema zaposlenima, za materijalne rashode</w:t>
      </w:r>
      <w:r w:rsidR="00CF2F25">
        <w:t xml:space="preserve">, financijske rashode, kazne i ostale tekuće obveze), za nabavu nefinancijske imovine </w:t>
      </w:r>
      <w:r w:rsidR="007F3F27">
        <w:t>82.389.221,00</w:t>
      </w:r>
      <w:r w:rsidR="00B378C5">
        <w:t xml:space="preserve"> </w:t>
      </w:r>
      <w:r w:rsidR="00CF2F25">
        <w:t xml:space="preserve">kuna, te za podmirenje financijskih obveza (otplata glavnice za dugoročni kredit za hidroterapiju Terme) u iznosu </w:t>
      </w:r>
      <w:r w:rsidR="007F3F27">
        <w:t>670.030,00</w:t>
      </w:r>
      <w:r w:rsidR="00CF2F25">
        <w:t xml:space="preserve"> kuna.</w:t>
      </w:r>
      <w:r w:rsidR="003D5C49" w:rsidRPr="00507BAD">
        <w:t xml:space="preserve"> </w:t>
      </w:r>
    </w:p>
    <w:p w:rsidR="003D5C49" w:rsidRPr="00507BAD" w:rsidRDefault="003D5C49" w:rsidP="00BE783D">
      <w:pPr>
        <w:spacing w:line="240" w:lineRule="auto"/>
        <w:jc w:val="both"/>
      </w:pPr>
      <w:r w:rsidRPr="00507BAD">
        <w:rPr>
          <w:b/>
        </w:rPr>
        <w:t>AOP – 090 – Stanje obveza na kraju izvještajnog razdoblja</w:t>
      </w:r>
      <w:r w:rsidRPr="00507BAD">
        <w:t xml:space="preserve"> – evidentirane su u iznosu </w:t>
      </w:r>
      <w:r w:rsidR="007F3F27">
        <w:t>130.180.611,00</w:t>
      </w:r>
      <w:r w:rsidRPr="00507BAD">
        <w:t xml:space="preserve"> kuna i to za</w:t>
      </w:r>
      <w:r w:rsidR="007F3F27">
        <w:t xml:space="preserve"> dospjele obveze</w:t>
      </w:r>
      <w:r w:rsidR="00B062E6">
        <w:t xml:space="preserve"> u iznosu 22.882.183,00 kuna</w:t>
      </w:r>
      <w:r w:rsidRPr="00507BAD">
        <w:t>:</w:t>
      </w:r>
    </w:p>
    <w:p w:rsidR="003D5C49" w:rsidRPr="00507BAD" w:rsidRDefault="003D5C49" w:rsidP="00E82070">
      <w:pPr>
        <w:pStyle w:val="Odlomakpopisa"/>
        <w:numPr>
          <w:ilvl w:val="0"/>
          <w:numId w:val="16"/>
        </w:numPr>
        <w:spacing w:line="240" w:lineRule="auto"/>
        <w:jc w:val="both"/>
      </w:pPr>
      <w:r w:rsidRPr="00507BAD">
        <w:lastRenderedPageBreak/>
        <w:t xml:space="preserve">Za međusobne obveze proračunskih korisnika zdravstvenih ustanova u iznosu </w:t>
      </w:r>
      <w:r w:rsidR="007F3F27">
        <w:t>38.498,00</w:t>
      </w:r>
      <w:r w:rsidR="00DB27F0">
        <w:t xml:space="preserve"> kuna (sistematski pregledi zaposlenika, usluge mikrobiologije za bolničke pacijente),</w:t>
      </w:r>
    </w:p>
    <w:p w:rsidR="003D5C49" w:rsidRDefault="003D5C49" w:rsidP="00BE783D">
      <w:pPr>
        <w:pStyle w:val="Odlomakpopisa"/>
        <w:numPr>
          <w:ilvl w:val="0"/>
          <w:numId w:val="16"/>
        </w:numPr>
        <w:spacing w:line="240" w:lineRule="auto"/>
        <w:jc w:val="both"/>
      </w:pPr>
      <w:r w:rsidRPr="00507BAD">
        <w:t xml:space="preserve">Za rashode poslovanja u iznosu </w:t>
      </w:r>
      <w:r w:rsidR="007F3F27">
        <w:t>805.782,00</w:t>
      </w:r>
      <w:r w:rsidRPr="00507BAD">
        <w:t xml:space="preserve"> kuna za podmirenje obveza (</w:t>
      </w:r>
      <w:r w:rsidR="00B062E6">
        <w:t>živežne namirnice, razne usluge</w:t>
      </w:r>
      <w:r w:rsidR="00530961">
        <w:t>),</w:t>
      </w:r>
    </w:p>
    <w:p w:rsidR="002D6EF0" w:rsidRPr="00507BAD" w:rsidRDefault="002D6EF0" w:rsidP="00BE783D">
      <w:pPr>
        <w:pStyle w:val="Odlomakpopisa"/>
        <w:numPr>
          <w:ilvl w:val="0"/>
          <w:numId w:val="16"/>
        </w:numPr>
        <w:spacing w:line="240" w:lineRule="auto"/>
        <w:jc w:val="both"/>
      </w:pPr>
      <w:r>
        <w:t>Za obveze na nefinancijskoj imovini (obveza za privremen</w:t>
      </w:r>
      <w:r w:rsidR="007F3F27">
        <w:t>e</w:t>
      </w:r>
      <w:r>
        <w:t xml:space="preserve"> situacij</w:t>
      </w:r>
      <w:r w:rsidR="007F3F27">
        <w:t>e</w:t>
      </w:r>
      <w:r>
        <w:t xml:space="preserve"> za radove na ene</w:t>
      </w:r>
      <w:r w:rsidR="00F87612">
        <w:t>r</w:t>
      </w:r>
      <w:r w:rsidR="003019F9">
        <w:t>getskoj obnovi objek</w:t>
      </w:r>
      <w:r w:rsidR="007F3F27">
        <w:t>a</w:t>
      </w:r>
      <w:r w:rsidR="003019F9">
        <w:t xml:space="preserve">ta </w:t>
      </w:r>
      <w:r w:rsidR="007F3F27">
        <w:t>Bolnice</w:t>
      </w:r>
      <w:r w:rsidR="003019F9">
        <w:t xml:space="preserve">) u iznosu </w:t>
      </w:r>
      <w:r w:rsidR="007F3F27">
        <w:t>22.037.903,00</w:t>
      </w:r>
      <w:r w:rsidR="003019F9">
        <w:t xml:space="preserve"> kuna.</w:t>
      </w:r>
    </w:p>
    <w:p w:rsidR="000B075D" w:rsidRDefault="000B075D" w:rsidP="000E49FB">
      <w:pPr>
        <w:pStyle w:val="Odlomakpopisa"/>
        <w:spacing w:line="240" w:lineRule="auto"/>
        <w:jc w:val="both"/>
      </w:pPr>
    </w:p>
    <w:p w:rsidR="000E49FB" w:rsidRDefault="000E49FB" w:rsidP="000E49FB">
      <w:pPr>
        <w:pStyle w:val="Odlomakpopisa"/>
        <w:spacing w:line="240" w:lineRule="auto"/>
        <w:jc w:val="both"/>
      </w:pPr>
    </w:p>
    <w:p w:rsidR="006D7504" w:rsidRPr="006D7504" w:rsidRDefault="006D7504" w:rsidP="006D7504">
      <w:pPr>
        <w:keepNext/>
        <w:keepLines/>
        <w:spacing w:after="0" w:line="240" w:lineRule="auto"/>
        <w:jc w:val="center"/>
        <w:outlineLvl w:val="0"/>
        <w:rPr>
          <w:rFonts w:asciiTheme="majorHAnsi" w:eastAsiaTheme="majorEastAsia" w:hAnsiTheme="majorHAnsi" w:cstheme="majorBidi"/>
          <w:b/>
          <w:bCs/>
          <w:color w:val="365F91" w:themeColor="accent1" w:themeShade="BF"/>
          <w:sz w:val="28"/>
          <w:szCs w:val="28"/>
        </w:rPr>
      </w:pPr>
      <w:r w:rsidRPr="006D7504">
        <w:rPr>
          <w:rFonts w:asciiTheme="majorHAnsi" w:eastAsiaTheme="majorEastAsia" w:hAnsiTheme="majorHAnsi" w:cstheme="majorBidi"/>
          <w:b/>
          <w:bCs/>
          <w:color w:val="365F91" w:themeColor="accent1" w:themeShade="BF"/>
          <w:sz w:val="28"/>
          <w:szCs w:val="28"/>
        </w:rPr>
        <w:t>IZVJEŠTAJ O RASHODIMA PREMA FUNKCIJSKOJ KLASIFIKACIJI ZA RAZDBOLJE  OD 1. SIJEČNJA DO 31. PROSINCA 20</w:t>
      </w:r>
      <w:r w:rsidR="007F3F27">
        <w:rPr>
          <w:rFonts w:asciiTheme="majorHAnsi" w:eastAsiaTheme="majorEastAsia" w:hAnsiTheme="majorHAnsi" w:cstheme="majorBidi"/>
          <w:b/>
          <w:bCs/>
          <w:color w:val="365F91" w:themeColor="accent1" w:themeShade="BF"/>
          <w:sz w:val="28"/>
          <w:szCs w:val="28"/>
        </w:rPr>
        <w:t>20</w:t>
      </w:r>
      <w:r w:rsidRPr="006D7504">
        <w:rPr>
          <w:rFonts w:asciiTheme="majorHAnsi" w:eastAsiaTheme="majorEastAsia" w:hAnsiTheme="majorHAnsi" w:cstheme="majorBidi"/>
          <w:b/>
          <w:bCs/>
          <w:color w:val="365F91" w:themeColor="accent1" w:themeShade="BF"/>
          <w:sz w:val="28"/>
          <w:szCs w:val="28"/>
        </w:rPr>
        <w:t>. GODINE</w:t>
      </w:r>
    </w:p>
    <w:p w:rsidR="000E49FB" w:rsidRDefault="000E49FB" w:rsidP="000E49FB">
      <w:pPr>
        <w:pStyle w:val="Odlomakpopisa"/>
        <w:spacing w:line="240" w:lineRule="auto"/>
        <w:jc w:val="both"/>
      </w:pPr>
    </w:p>
    <w:p w:rsidR="007F3F27" w:rsidRDefault="006D7504" w:rsidP="006D7504">
      <w:pPr>
        <w:spacing w:line="240" w:lineRule="auto"/>
        <w:jc w:val="both"/>
      </w:pPr>
      <w:r>
        <w:t xml:space="preserve">Specijalna bolnica za medicinsku rehabilitaciju Varaždinske Toplice obavlja bolničku, te specijalističko-konzilijarnu zdravstvenu zaštitu za koju su rashodi iskazani na AOP 097 – usluge specijalističkih bolnica (razred 3 i 4) u iznosu </w:t>
      </w:r>
      <w:r w:rsidR="007F3F27">
        <w:t>201.161.106,00</w:t>
      </w:r>
      <w:r>
        <w:t xml:space="preserve"> kuna. U 20</w:t>
      </w:r>
      <w:r w:rsidR="007F3F27">
        <w:t>20</w:t>
      </w:r>
      <w:r>
        <w:t xml:space="preserve">. godini iskazani su rashodi veći za </w:t>
      </w:r>
      <w:r w:rsidR="007F3F27">
        <w:t>72,9</w:t>
      </w:r>
      <w:r>
        <w:t xml:space="preserve">% ili za </w:t>
      </w:r>
      <w:r w:rsidR="007F3F27">
        <w:t>84.846.519,00</w:t>
      </w:r>
      <w:r>
        <w:t xml:space="preserve"> kuna u odnosu na prethodnu godinu radi iskazivanja rashoda energetske obnove objek</w:t>
      </w:r>
      <w:r w:rsidR="007F3F27">
        <w:t>a</w:t>
      </w:r>
      <w:r>
        <w:t xml:space="preserve">ta </w:t>
      </w:r>
      <w:r w:rsidR="007F3F27">
        <w:t xml:space="preserve">Bolnice </w:t>
      </w:r>
      <w:r>
        <w:t>(privremen</w:t>
      </w:r>
      <w:r w:rsidR="007F3F27">
        <w:t>e</w:t>
      </w:r>
      <w:r>
        <w:t xml:space="preserve"> situacij</w:t>
      </w:r>
      <w:r w:rsidR="007F3F27">
        <w:t>e</w:t>
      </w:r>
      <w:r>
        <w:t xml:space="preserve"> + </w:t>
      </w:r>
      <w:r w:rsidR="007F3F27">
        <w:t>stručni i projektantski nadzor).</w:t>
      </w:r>
    </w:p>
    <w:p w:rsidR="006D7504" w:rsidRDefault="006D7504" w:rsidP="006D7504">
      <w:pPr>
        <w:spacing w:line="240" w:lineRule="auto"/>
        <w:jc w:val="both"/>
      </w:pPr>
      <w:r>
        <w:t xml:space="preserve">Specijalna bolnica za medicinsku rehabilitaciju ostvaruje i vlastite prihode od tržišta – od turističko ugostiteljskog dijela, smještajnog dijela, a rashodi </w:t>
      </w:r>
      <w:r w:rsidR="00F87612">
        <w:t>p</w:t>
      </w:r>
      <w:r>
        <w:t>o osnov</w:t>
      </w:r>
      <w:r w:rsidR="00F87612">
        <w:t>i</w:t>
      </w:r>
      <w:r>
        <w:t xml:space="preserve"> navedene djelatnosti iskazani su u okviru funkcije 0472</w:t>
      </w:r>
      <w:r w:rsidR="00936034">
        <w:t xml:space="preserve">- hoteli i restorani (AOP 059) u iznosu </w:t>
      </w:r>
      <w:r w:rsidR="007F3F27">
        <w:t>17.207.299,00</w:t>
      </w:r>
      <w:r w:rsidR="00452A44">
        <w:t xml:space="preserve"> kuna, manji su za 20,9%.</w:t>
      </w:r>
    </w:p>
    <w:p w:rsidR="00936034" w:rsidRPr="002B2BC7" w:rsidRDefault="00936034" w:rsidP="00936034">
      <w:pPr>
        <w:spacing w:line="240" w:lineRule="auto"/>
        <w:jc w:val="both"/>
      </w:pPr>
      <w:r w:rsidRPr="00936034">
        <w:rPr>
          <w:b/>
        </w:rPr>
        <w:t xml:space="preserve">AOP – </w:t>
      </w:r>
      <w:r>
        <w:rPr>
          <w:b/>
        </w:rPr>
        <w:t>137</w:t>
      </w:r>
      <w:r w:rsidRPr="00936034">
        <w:rPr>
          <w:b/>
        </w:rPr>
        <w:t xml:space="preserve"> – </w:t>
      </w:r>
      <w:r w:rsidRPr="002B2BC7">
        <w:t>u 20</w:t>
      </w:r>
      <w:r w:rsidR="007F3F27">
        <w:t>20</w:t>
      </w:r>
      <w:r w:rsidRPr="002B2BC7">
        <w:t xml:space="preserve">. godini iskazani su rashodi u iznosu </w:t>
      </w:r>
      <w:r w:rsidR="007F3F27">
        <w:t>218.368.405,00</w:t>
      </w:r>
      <w:r w:rsidRPr="002B2BC7">
        <w:t xml:space="preserve"> kuna, što je više za </w:t>
      </w:r>
      <w:r w:rsidR="007F3F27">
        <w:t>58,2</w:t>
      </w:r>
      <w:r w:rsidRPr="002B2BC7">
        <w:t>% u odnosu na prethodnu godinu (veći rashodi za plaće zaposlenih, evidentirani rashodi na energetskoj obnovi objek</w:t>
      </w:r>
      <w:r w:rsidR="007F3F27">
        <w:t>a</w:t>
      </w:r>
      <w:r w:rsidRPr="002B2BC7">
        <w:t xml:space="preserve">ta </w:t>
      </w:r>
      <w:r w:rsidR="007F3F27">
        <w:t>Bolnice</w:t>
      </w:r>
      <w:r w:rsidRPr="002B2BC7">
        <w:t xml:space="preserve">, rashodi na pripremi izgradnje Nacionalnog rehabilitacijskog centra za osobe s bolestima kralježnične moždine (Spinalni centar). </w:t>
      </w:r>
    </w:p>
    <w:p w:rsidR="00936034" w:rsidRPr="00936034" w:rsidRDefault="00936034" w:rsidP="00936034">
      <w:pPr>
        <w:keepNext/>
        <w:keepLines/>
        <w:spacing w:before="480" w:after="0" w:line="240" w:lineRule="auto"/>
        <w:jc w:val="center"/>
        <w:outlineLvl w:val="0"/>
        <w:rPr>
          <w:rFonts w:asciiTheme="majorHAnsi" w:eastAsiaTheme="majorEastAsia" w:hAnsiTheme="majorHAnsi" w:cstheme="majorBidi"/>
          <w:b/>
          <w:bCs/>
          <w:color w:val="365F91" w:themeColor="accent1" w:themeShade="BF"/>
          <w:sz w:val="28"/>
          <w:szCs w:val="28"/>
        </w:rPr>
      </w:pPr>
      <w:r w:rsidRPr="00936034">
        <w:rPr>
          <w:rFonts w:asciiTheme="majorHAnsi" w:eastAsiaTheme="majorEastAsia" w:hAnsiTheme="majorHAnsi" w:cstheme="majorBidi"/>
          <w:b/>
          <w:bCs/>
          <w:color w:val="365F91" w:themeColor="accent1" w:themeShade="BF"/>
          <w:sz w:val="28"/>
          <w:szCs w:val="28"/>
        </w:rPr>
        <w:t>BILJEŠKE U VEZI ZAPISNIKA O USKLAĐENJU I KONAČNOM OBRAČUNU RADA BOLNIČKIH ZDRAVSTVENIH USTANOVA ZA RAZDOBLJE OD 1. SIJEČNJA DO 31. PROSINCA 20</w:t>
      </w:r>
      <w:r w:rsidR="007F3F27">
        <w:rPr>
          <w:rFonts w:asciiTheme="majorHAnsi" w:eastAsiaTheme="majorEastAsia" w:hAnsiTheme="majorHAnsi" w:cstheme="majorBidi"/>
          <w:b/>
          <w:bCs/>
          <w:color w:val="365F91" w:themeColor="accent1" w:themeShade="BF"/>
          <w:sz w:val="28"/>
          <w:szCs w:val="28"/>
        </w:rPr>
        <w:t>20</w:t>
      </w:r>
      <w:r w:rsidRPr="00936034">
        <w:rPr>
          <w:rFonts w:asciiTheme="majorHAnsi" w:eastAsiaTheme="majorEastAsia" w:hAnsiTheme="majorHAnsi" w:cstheme="majorBidi"/>
          <w:b/>
          <w:bCs/>
          <w:color w:val="365F91" w:themeColor="accent1" w:themeShade="BF"/>
          <w:sz w:val="28"/>
          <w:szCs w:val="28"/>
        </w:rPr>
        <w:t>. GODINE</w:t>
      </w:r>
    </w:p>
    <w:p w:rsidR="00936034" w:rsidRPr="00936034" w:rsidRDefault="00936034" w:rsidP="00936034">
      <w:pPr>
        <w:spacing w:after="0" w:line="240" w:lineRule="auto"/>
        <w:jc w:val="both"/>
      </w:pPr>
    </w:p>
    <w:p w:rsidR="00B3716A" w:rsidRDefault="00936034" w:rsidP="00E82070">
      <w:pPr>
        <w:spacing w:after="0" w:line="240" w:lineRule="auto"/>
        <w:jc w:val="both"/>
      </w:pPr>
      <w:r w:rsidRPr="00936034">
        <w:t xml:space="preserve">Dana </w:t>
      </w:r>
      <w:r w:rsidR="00D52ADA">
        <w:t>01.02.2021</w:t>
      </w:r>
      <w:r w:rsidRPr="00936034">
        <w:t xml:space="preserve">. godine zaprimili smo </w:t>
      </w:r>
      <w:r w:rsidR="002B2BC7">
        <w:t xml:space="preserve">od HZZO-a Varaždin </w:t>
      </w:r>
      <w:r>
        <w:t xml:space="preserve">uskladu stanja </w:t>
      </w:r>
      <w:r w:rsidRPr="00936034">
        <w:t xml:space="preserve">o godišnjem obračunu limita i izvršenju rada bolničke zdravstvene ustanove. </w:t>
      </w:r>
      <w:r>
        <w:t>Usklad</w:t>
      </w:r>
      <w:r w:rsidR="002B2BC7">
        <w:t>om</w:t>
      </w:r>
      <w:r w:rsidRPr="00936034">
        <w:t xml:space="preserve"> o godišnjem obračunu limita i izvršenj</w:t>
      </w:r>
      <w:r>
        <w:t>u</w:t>
      </w:r>
      <w:r w:rsidRPr="00936034">
        <w:t xml:space="preserve"> rada utvrđen</w:t>
      </w:r>
      <w:r w:rsidR="002C04B1">
        <w:t>o</w:t>
      </w:r>
      <w:r w:rsidRPr="00936034">
        <w:t xml:space="preserve"> je </w:t>
      </w:r>
      <w:r w:rsidR="00D52ADA">
        <w:t>manj</w:t>
      </w:r>
      <w:r w:rsidR="00452A44">
        <w:t>e</w:t>
      </w:r>
      <w:r w:rsidRPr="00936034">
        <w:t xml:space="preserve"> </w:t>
      </w:r>
      <w:r w:rsidR="00452A44">
        <w:t>izvršenje</w:t>
      </w:r>
      <w:r w:rsidRPr="00936034">
        <w:t xml:space="preserve"> </w:t>
      </w:r>
      <w:r w:rsidR="00452A44">
        <w:t>u odnosu na doznačena sredstva</w:t>
      </w:r>
      <w:r w:rsidRPr="00936034">
        <w:t xml:space="preserve"> u iznosu od </w:t>
      </w:r>
      <w:r w:rsidR="00D52ADA">
        <w:t>33.390.054,52</w:t>
      </w:r>
      <w:r w:rsidRPr="00936034">
        <w:t xml:space="preserve"> kn</w:t>
      </w:r>
      <w:r w:rsidR="002B2BC7">
        <w:t xml:space="preserve">, odnosno po našim knjigovodstvenim evidencijama iznos od </w:t>
      </w:r>
      <w:r w:rsidR="00D52ADA">
        <w:t>33.391.334,00</w:t>
      </w:r>
      <w:r w:rsidR="002B2BC7">
        <w:t xml:space="preserve"> kuna (razlika </w:t>
      </w:r>
      <w:r w:rsidR="00D52ADA">
        <w:t xml:space="preserve">u iznosu 1.279,48 kuna odnosi se na </w:t>
      </w:r>
      <w:r w:rsidR="002B2BC7">
        <w:t>prijenos podataka koji je nastao prilikom implementacije novog jedinstvenog poslovnog i bolničkog sustava)</w:t>
      </w:r>
      <w:r w:rsidR="00452A44">
        <w:t xml:space="preserve">. </w:t>
      </w:r>
      <w:r w:rsidR="002B2BC7">
        <w:t xml:space="preserve">Razlika po usklađenju s HZZO-om u iznosu od </w:t>
      </w:r>
      <w:r w:rsidR="00D52ADA" w:rsidRPr="008E1831">
        <w:t>1.279,48</w:t>
      </w:r>
      <w:r w:rsidR="002B2BC7" w:rsidRPr="008E1831">
        <w:t xml:space="preserve"> </w:t>
      </w:r>
      <w:r w:rsidR="002B2BC7">
        <w:t>kuna biti će korigirana u našim evidencijama u 202</w:t>
      </w:r>
      <w:r w:rsidR="00D52ADA">
        <w:t>1</w:t>
      </w:r>
      <w:r w:rsidR="002B2BC7">
        <w:t>. godini na dan 01. siječnja po početnom stanju.</w:t>
      </w:r>
      <w:r w:rsidRPr="00936034">
        <w:t xml:space="preserve"> </w:t>
      </w:r>
      <w:r w:rsidR="00D52ADA">
        <w:t>Neizvršenje limita posljedica je pandemije COVID-19 (manje pacijenata na bolničkom liječenju), te izvođenja građevinsko-obrtničkih radova na energetsk</w:t>
      </w:r>
      <w:r w:rsidR="002C04B1">
        <w:t xml:space="preserve">oj obnovi objekata Bolnice. Za razliku više doznačenih sredstva od stvarno izvršenih usluga </w:t>
      </w:r>
      <w:r w:rsidR="00D52ADA">
        <w:t>napravl</w:t>
      </w:r>
      <w:r w:rsidR="002C04B1">
        <w:t>jena je korekcija -  iznos storniran sa prihoda i iskazane su</w:t>
      </w:r>
      <w:r w:rsidR="00036776">
        <w:t xml:space="preserve"> </w:t>
      </w:r>
      <w:r w:rsidR="00D52ADA">
        <w:t>obveze</w:t>
      </w:r>
      <w:r w:rsidR="00B3716A">
        <w:t xml:space="preserve"> prema HZZO-u za manje izvršen rad</w:t>
      </w:r>
      <w:r w:rsidR="00D52ADA">
        <w:t>.</w:t>
      </w:r>
    </w:p>
    <w:p w:rsidR="00E82070" w:rsidRDefault="00D52ADA" w:rsidP="00E82070">
      <w:pPr>
        <w:spacing w:after="0" w:line="240" w:lineRule="auto"/>
        <w:jc w:val="both"/>
      </w:pPr>
      <w:r>
        <w:t xml:space="preserve"> </w:t>
      </w:r>
    </w:p>
    <w:p w:rsidR="003D5C49" w:rsidRDefault="00D5740A" w:rsidP="00D5740A">
      <w:pPr>
        <w:pStyle w:val="Bezproreda"/>
      </w:pPr>
      <w:r>
        <w:t xml:space="preserve">U Var. Toplicama, </w:t>
      </w:r>
      <w:r w:rsidR="00E17C28">
        <w:t>31.12</w:t>
      </w:r>
      <w:r w:rsidR="00C24A9F">
        <w:t>.20</w:t>
      </w:r>
      <w:r w:rsidR="0015579B">
        <w:t>20</w:t>
      </w:r>
      <w:r w:rsidR="00C24A9F">
        <w:t>.</w:t>
      </w:r>
    </w:p>
    <w:p w:rsidR="00D5740A" w:rsidRPr="00D5740A" w:rsidRDefault="00D5740A" w:rsidP="00D5740A">
      <w:pPr>
        <w:pStyle w:val="Bezproreda"/>
        <w:rPr>
          <w:b/>
          <w:i/>
        </w:rPr>
      </w:pPr>
      <w:r w:rsidRPr="00D5740A">
        <w:rPr>
          <w:b/>
          <w:i/>
        </w:rPr>
        <w:t>Broj: 04-</w:t>
      </w:r>
      <w:r w:rsidR="008E1831">
        <w:rPr>
          <w:b/>
          <w:i/>
        </w:rPr>
        <w:t>179/1-2020.</w:t>
      </w:r>
    </w:p>
    <w:p w:rsidR="00893350" w:rsidRPr="00E82070" w:rsidRDefault="00D5740A" w:rsidP="00D5740A">
      <w:pPr>
        <w:pStyle w:val="Bezproreda"/>
        <w:rPr>
          <w:i/>
          <w:u w:val="single"/>
        </w:rPr>
      </w:pPr>
      <w:r w:rsidRPr="00D5740A">
        <w:rPr>
          <w:i/>
          <w:u w:val="single"/>
        </w:rPr>
        <w:t xml:space="preserve">Osoba za kontakt: </w:t>
      </w:r>
      <w:r w:rsidR="0015579B">
        <w:rPr>
          <w:i/>
          <w:u w:val="single"/>
        </w:rPr>
        <w:t xml:space="preserve">v.d. </w:t>
      </w:r>
      <w:r w:rsidRPr="00D5740A">
        <w:rPr>
          <w:i/>
          <w:u w:val="single"/>
        </w:rPr>
        <w:t xml:space="preserve">Voditeljica </w:t>
      </w:r>
      <w:r w:rsidR="0015579B">
        <w:rPr>
          <w:i/>
          <w:u w:val="single"/>
        </w:rPr>
        <w:t>o</w:t>
      </w:r>
      <w:r w:rsidRPr="00D5740A">
        <w:rPr>
          <w:i/>
          <w:u w:val="single"/>
        </w:rPr>
        <w:t>djela za financijske poslo</w:t>
      </w:r>
      <w:r w:rsidR="00E82070">
        <w:rPr>
          <w:i/>
          <w:u w:val="single"/>
        </w:rPr>
        <w:t xml:space="preserve">ve, </w:t>
      </w:r>
      <w:r w:rsidR="0015579B">
        <w:rPr>
          <w:i/>
          <w:u w:val="single"/>
        </w:rPr>
        <w:t>Spomenka Sakač, 042/633-384.</w:t>
      </w:r>
    </w:p>
    <w:p w:rsidR="00D5740A" w:rsidRPr="00D5740A" w:rsidRDefault="00D5740A" w:rsidP="00D5740A">
      <w:pPr>
        <w:pStyle w:val="Bezproreda"/>
        <w:rPr>
          <w:b/>
          <w:i/>
          <w:u w:val="single"/>
        </w:rPr>
      </w:pPr>
    </w:p>
    <w:p w:rsidR="00F64D8A" w:rsidRDefault="00F64D8A">
      <w:r>
        <w:t xml:space="preserve">                                                     </w:t>
      </w:r>
      <w:r w:rsidR="00896547">
        <w:t xml:space="preserve">                                                                                      </w:t>
      </w:r>
      <w:r>
        <w:t xml:space="preserve">     Ravnatelj:</w:t>
      </w:r>
    </w:p>
    <w:p w:rsidR="00F64D8A" w:rsidRDefault="00896547">
      <w:r>
        <w:t xml:space="preserve">                                                                                                                            </w:t>
      </w:r>
      <w:r w:rsidR="00F64D8A">
        <w:t>Denis Kovačić, dr.</w:t>
      </w:r>
      <w:r>
        <w:t xml:space="preserve"> </w:t>
      </w:r>
      <w:r w:rsidR="00F64D8A">
        <w:t>med.</w:t>
      </w:r>
      <w:r>
        <w:t xml:space="preserve"> </w:t>
      </w:r>
      <w:r w:rsidR="002B2BC7">
        <w:t>spec.</w:t>
      </w:r>
    </w:p>
    <w:sectPr w:rsidR="00F64D8A" w:rsidSect="00F03482">
      <w:footerReference w:type="default" r:id="rId8"/>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02D" w:rsidRDefault="0041202D" w:rsidP="00700EBB">
      <w:pPr>
        <w:spacing w:after="0" w:line="240" w:lineRule="auto"/>
      </w:pPr>
      <w:r>
        <w:separator/>
      </w:r>
    </w:p>
  </w:endnote>
  <w:endnote w:type="continuationSeparator" w:id="0">
    <w:p w:rsidR="0041202D" w:rsidRDefault="0041202D" w:rsidP="0070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7782"/>
      <w:docPartObj>
        <w:docPartGallery w:val="Page Numbers (Bottom of Page)"/>
        <w:docPartUnique/>
      </w:docPartObj>
    </w:sdtPr>
    <w:sdtEndPr/>
    <w:sdtContent>
      <w:p w:rsidR="008F0424" w:rsidRDefault="008F0424">
        <w:pPr>
          <w:pStyle w:val="Podnoje"/>
          <w:jc w:val="center"/>
        </w:pPr>
        <w:r>
          <w:fldChar w:fldCharType="begin"/>
        </w:r>
        <w:r>
          <w:instrText xml:space="preserve"> PAGE   \* MERGEFORMAT </w:instrText>
        </w:r>
        <w:r>
          <w:fldChar w:fldCharType="separate"/>
        </w:r>
        <w:r w:rsidR="00951A3C">
          <w:rPr>
            <w:noProof/>
          </w:rPr>
          <w:t>1</w:t>
        </w:r>
        <w:r>
          <w:rPr>
            <w:noProof/>
          </w:rPr>
          <w:fldChar w:fldCharType="end"/>
        </w:r>
      </w:p>
    </w:sdtContent>
  </w:sdt>
  <w:p w:rsidR="008F0424" w:rsidRDefault="008F042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02D" w:rsidRDefault="0041202D" w:rsidP="00700EBB">
      <w:pPr>
        <w:spacing w:after="0" w:line="240" w:lineRule="auto"/>
      </w:pPr>
      <w:r>
        <w:separator/>
      </w:r>
    </w:p>
  </w:footnote>
  <w:footnote w:type="continuationSeparator" w:id="0">
    <w:p w:rsidR="0041202D" w:rsidRDefault="0041202D" w:rsidP="00700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B2B21"/>
    <w:multiLevelType w:val="hybridMultilevel"/>
    <w:tmpl w:val="10669E76"/>
    <w:lvl w:ilvl="0" w:tplc="ED046D2E">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 w15:restartNumberingAfterBreak="0">
    <w:nsid w:val="1D114161"/>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0EA5759"/>
    <w:multiLevelType w:val="hybridMultilevel"/>
    <w:tmpl w:val="29D895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A247ED"/>
    <w:multiLevelType w:val="hybridMultilevel"/>
    <w:tmpl w:val="3B26A0EC"/>
    <w:lvl w:ilvl="0" w:tplc="26200F1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816021B"/>
    <w:multiLevelType w:val="hybridMultilevel"/>
    <w:tmpl w:val="669614D4"/>
    <w:lvl w:ilvl="0" w:tplc="F1FE5A8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0A6D03"/>
    <w:multiLevelType w:val="hybridMultilevel"/>
    <w:tmpl w:val="9B6AA89A"/>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5D1FAF"/>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9150143"/>
    <w:multiLevelType w:val="hybridMultilevel"/>
    <w:tmpl w:val="3C46B1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F0714D2"/>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6DD30C9"/>
    <w:multiLevelType w:val="hybridMultilevel"/>
    <w:tmpl w:val="0D76C42A"/>
    <w:lvl w:ilvl="0" w:tplc="DFE60B48">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729130C"/>
    <w:multiLevelType w:val="hybridMultilevel"/>
    <w:tmpl w:val="2D4C2D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663CB"/>
    <w:multiLevelType w:val="hybridMultilevel"/>
    <w:tmpl w:val="D570B8C0"/>
    <w:lvl w:ilvl="0" w:tplc="2E7E141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90241A2"/>
    <w:multiLevelType w:val="hybridMultilevel"/>
    <w:tmpl w:val="50623600"/>
    <w:lvl w:ilvl="0" w:tplc="009845E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1E9504D"/>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5046E39"/>
    <w:multiLevelType w:val="hybridMultilevel"/>
    <w:tmpl w:val="8FC26F70"/>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9E52D9"/>
    <w:multiLevelType w:val="hybridMultilevel"/>
    <w:tmpl w:val="27C06EA4"/>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8EC3B99"/>
    <w:multiLevelType w:val="hybridMultilevel"/>
    <w:tmpl w:val="53986EAE"/>
    <w:lvl w:ilvl="0" w:tplc="88FA7F9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A764717"/>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B82003A"/>
    <w:multiLevelType w:val="hybridMultilevel"/>
    <w:tmpl w:val="D612034C"/>
    <w:lvl w:ilvl="0" w:tplc="0596BF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8A4407"/>
    <w:multiLevelType w:val="hybridMultilevel"/>
    <w:tmpl w:val="65921614"/>
    <w:lvl w:ilvl="0" w:tplc="DAC089C8">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0"/>
  </w:num>
  <w:num w:numId="5">
    <w:abstractNumId w:val="17"/>
  </w:num>
  <w:num w:numId="6">
    <w:abstractNumId w:val="7"/>
  </w:num>
  <w:num w:numId="7">
    <w:abstractNumId w:val="10"/>
  </w:num>
  <w:num w:numId="8">
    <w:abstractNumId w:val="3"/>
  </w:num>
  <w:num w:numId="9">
    <w:abstractNumId w:val="19"/>
  </w:num>
  <w:num w:numId="10">
    <w:abstractNumId w:val="4"/>
  </w:num>
  <w:num w:numId="11">
    <w:abstractNumId w:val="2"/>
  </w:num>
  <w:num w:numId="12">
    <w:abstractNumId w:val="9"/>
  </w:num>
  <w:num w:numId="13">
    <w:abstractNumId w:val="15"/>
  </w:num>
  <w:num w:numId="14">
    <w:abstractNumId w:val="14"/>
  </w:num>
  <w:num w:numId="15">
    <w:abstractNumId w:val="5"/>
  </w:num>
  <w:num w:numId="16">
    <w:abstractNumId w:val="12"/>
  </w:num>
  <w:num w:numId="17">
    <w:abstractNumId w:val="8"/>
  </w:num>
  <w:num w:numId="18">
    <w:abstractNumId w:val="13"/>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E4"/>
    <w:rsid w:val="0000175B"/>
    <w:rsid w:val="000035AA"/>
    <w:rsid w:val="00003B2F"/>
    <w:rsid w:val="00005D4B"/>
    <w:rsid w:val="00006F12"/>
    <w:rsid w:val="00014A88"/>
    <w:rsid w:val="00016981"/>
    <w:rsid w:val="00020AD0"/>
    <w:rsid w:val="00020B00"/>
    <w:rsid w:val="00022D89"/>
    <w:rsid w:val="0002405D"/>
    <w:rsid w:val="00026517"/>
    <w:rsid w:val="00026A8A"/>
    <w:rsid w:val="00027A22"/>
    <w:rsid w:val="000336B9"/>
    <w:rsid w:val="00035D7D"/>
    <w:rsid w:val="00035F66"/>
    <w:rsid w:val="00036776"/>
    <w:rsid w:val="0004020A"/>
    <w:rsid w:val="00040700"/>
    <w:rsid w:val="000431C1"/>
    <w:rsid w:val="000448EC"/>
    <w:rsid w:val="0004555D"/>
    <w:rsid w:val="00051526"/>
    <w:rsid w:val="0005186B"/>
    <w:rsid w:val="00052225"/>
    <w:rsid w:val="00052433"/>
    <w:rsid w:val="00054048"/>
    <w:rsid w:val="000547DE"/>
    <w:rsid w:val="00054C4D"/>
    <w:rsid w:val="00055598"/>
    <w:rsid w:val="00055B52"/>
    <w:rsid w:val="0006037B"/>
    <w:rsid w:val="00060BB3"/>
    <w:rsid w:val="000647CE"/>
    <w:rsid w:val="00065616"/>
    <w:rsid w:val="00073600"/>
    <w:rsid w:val="000758C6"/>
    <w:rsid w:val="00081C59"/>
    <w:rsid w:val="000857F2"/>
    <w:rsid w:val="00086845"/>
    <w:rsid w:val="000868FC"/>
    <w:rsid w:val="000873B4"/>
    <w:rsid w:val="0009071F"/>
    <w:rsid w:val="00090B20"/>
    <w:rsid w:val="00090D91"/>
    <w:rsid w:val="0009124A"/>
    <w:rsid w:val="00092E13"/>
    <w:rsid w:val="0009349B"/>
    <w:rsid w:val="000940D9"/>
    <w:rsid w:val="00096A19"/>
    <w:rsid w:val="00096DBE"/>
    <w:rsid w:val="000A281A"/>
    <w:rsid w:val="000A52C5"/>
    <w:rsid w:val="000A5C67"/>
    <w:rsid w:val="000A783F"/>
    <w:rsid w:val="000A7C46"/>
    <w:rsid w:val="000B075D"/>
    <w:rsid w:val="000B120B"/>
    <w:rsid w:val="000B31CA"/>
    <w:rsid w:val="000B3B1A"/>
    <w:rsid w:val="000C13D4"/>
    <w:rsid w:val="000C52A8"/>
    <w:rsid w:val="000D0058"/>
    <w:rsid w:val="000D17E5"/>
    <w:rsid w:val="000D17F8"/>
    <w:rsid w:val="000D5579"/>
    <w:rsid w:val="000D6C2A"/>
    <w:rsid w:val="000E03A0"/>
    <w:rsid w:val="000E0C30"/>
    <w:rsid w:val="000E0EC1"/>
    <w:rsid w:val="000E444E"/>
    <w:rsid w:val="000E49FB"/>
    <w:rsid w:val="000E5AC1"/>
    <w:rsid w:val="000F1ED4"/>
    <w:rsid w:val="000F30BC"/>
    <w:rsid w:val="000F414A"/>
    <w:rsid w:val="000F716A"/>
    <w:rsid w:val="000F7F0B"/>
    <w:rsid w:val="00105155"/>
    <w:rsid w:val="001119ED"/>
    <w:rsid w:val="001128CA"/>
    <w:rsid w:val="00121B37"/>
    <w:rsid w:val="00121D3B"/>
    <w:rsid w:val="001220C3"/>
    <w:rsid w:val="00124828"/>
    <w:rsid w:val="0012715F"/>
    <w:rsid w:val="00127CCF"/>
    <w:rsid w:val="001323C6"/>
    <w:rsid w:val="0013549B"/>
    <w:rsid w:val="00135D7D"/>
    <w:rsid w:val="00135DBB"/>
    <w:rsid w:val="00137D33"/>
    <w:rsid w:val="001461F8"/>
    <w:rsid w:val="001477C9"/>
    <w:rsid w:val="0015027B"/>
    <w:rsid w:val="001536F1"/>
    <w:rsid w:val="0015579B"/>
    <w:rsid w:val="00156333"/>
    <w:rsid w:val="001565B9"/>
    <w:rsid w:val="00157653"/>
    <w:rsid w:val="001579E5"/>
    <w:rsid w:val="0016071D"/>
    <w:rsid w:val="00162468"/>
    <w:rsid w:val="00163596"/>
    <w:rsid w:val="0016793C"/>
    <w:rsid w:val="00170F4F"/>
    <w:rsid w:val="0017425A"/>
    <w:rsid w:val="00174711"/>
    <w:rsid w:val="00174E92"/>
    <w:rsid w:val="00175D32"/>
    <w:rsid w:val="0017770B"/>
    <w:rsid w:val="0018018E"/>
    <w:rsid w:val="0018045E"/>
    <w:rsid w:val="00184316"/>
    <w:rsid w:val="00187C46"/>
    <w:rsid w:val="001943F4"/>
    <w:rsid w:val="00195896"/>
    <w:rsid w:val="001962D4"/>
    <w:rsid w:val="00197E00"/>
    <w:rsid w:val="001A211D"/>
    <w:rsid w:val="001A245D"/>
    <w:rsid w:val="001B0352"/>
    <w:rsid w:val="001B05F1"/>
    <w:rsid w:val="001B17A0"/>
    <w:rsid w:val="001B537E"/>
    <w:rsid w:val="001B60D0"/>
    <w:rsid w:val="001B68EB"/>
    <w:rsid w:val="001C0861"/>
    <w:rsid w:val="001C28C4"/>
    <w:rsid w:val="001C6D23"/>
    <w:rsid w:val="001D149B"/>
    <w:rsid w:val="001D1771"/>
    <w:rsid w:val="001D27FF"/>
    <w:rsid w:val="001D476F"/>
    <w:rsid w:val="001D49E0"/>
    <w:rsid w:val="001D6F5D"/>
    <w:rsid w:val="001D7851"/>
    <w:rsid w:val="001E4A0F"/>
    <w:rsid w:val="001F46D5"/>
    <w:rsid w:val="001F7861"/>
    <w:rsid w:val="002029E8"/>
    <w:rsid w:val="00205F73"/>
    <w:rsid w:val="00217BD9"/>
    <w:rsid w:val="00220240"/>
    <w:rsid w:val="0022410F"/>
    <w:rsid w:val="00224AE3"/>
    <w:rsid w:val="00225DDD"/>
    <w:rsid w:val="0022609F"/>
    <w:rsid w:val="0023117C"/>
    <w:rsid w:val="00231633"/>
    <w:rsid w:val="00232791"/>
    <w:rsid w:val="00236555"/>
    <w:rsid w:val="0024051F"/>
    <w:rsid w:val="00241ACC"/>
    <w:rsid w:val="00247203"/>
    <w:rsid w:val="00250010"/>
    <w:rsid w:val="0025209F"/>
    <w:rsid w:val="00253ACE"/>
    <w:rsid w:val="002543F2"/>
    <w:rsid w:val="00254FEE"/>
    <w:rsid w:val="00255619"/>
    <w:rsid w:val="0026483A"/>
    <w:rsid w:val="002659B7"/>
    <w:rsid w:val="00266690"/>
    <w:rsid w:val="00267B78"/>
    <w:rsid w:val="00270980"/>
    <w:rsid w:val="00273E5D"/>
    <w:rsid w:val="0027440B"/>
    <w:rsid w:val="00284061"/>
    <w:rsid w:val="002843F2"/>
    <w:rsid w:val="00286F67"/>
    <w:rsid w:val="00291A58"/>
    <w:rsid w:val="00296A75"/>
    <w:rsid w:val="00297D15"/>
    <w:rsid w:val="002A0593"/>
    <w:rsid w:val="002A24C9"/>
    <w:rsid w:val="002A4180"/>
    <w:rsid w:val="002B2BC7"/>
    <w:rsid w:val="002C04B1"/>
    <w:rsid w:val="002C0F3E"/>
    <w:rsid w:val="002C4648"/>
    <w:rsid w:val="002C4856"/>
    <w:rsid w:val="002C66E3"/>
    <w:rsid w:val="002C7ED8"/>
    <w:rsid w:val="002D07A2"/>
    <w:rsid w:val="002D0927"/>
    <w:rsid w:val="002D1BD1"/>
    <w:rsid w:val="002D5F24"/>
    <w:rsid w:val="002D6EF0"/>
    <w:rsid w:val="002E1EBF"/>
    <w:rsid w:val="002E48C7"/>
    <w:rsid w:val="002E60B0"/>
    <w:rsid w:val="002E725B"/>
    <w:rsid w:val="002F237F"/>
    <w:rsid w:val="002F4677"/>
    <w:rsid w:val="002F4D3F"/>
    <w:rsid w:val="002F7CBA"/>
    <w:rsid w:val="002F7E65"/>
    <w:rsid w:val="003019F9"/>
    <w:rsid w:val="003065D9"/>
    <w:rsid w:val="00306FF8"/>
    <w:rsid w:val="00312FBC"/>
    <w:rsid w:val="00313D27"/>
    <w:rsid w:val="00320D0E"/>
    <w:rsid w:val="003217CD"/>
    <w:rsid w:val="003248C1"/>
    <w:rsid w:val="00324EC8"/>
    <w:rsid w:val="00326445"/>
    <w:rsid w:val="00327B56"/>
    <w:rsid w:val="00331496"/>
    <w:rsid w:val="003329C2"/>
    <w:rsid w:val="003333C1"/>
    <w:rsid w:val="00334A57"/>
    <w:rsid w:val="00334EE2"/>
    <w:rsid w:val="003425C5"/>
    <w:rsid w:val="003430DB"/>
    <w:rsid w:val="00346C14"/>
    <w:rsid w:val="00350E2A"/>
    <w:rsid w:val="0035469D"/>
    <w:rsid w:val="00354E0F"/>
    <w:rsid w:val="003563DF"/>
    <w:rsid w:val="003603AB"/>
    <w:rsid w:val="00362777"/>
    <w:rsid w:val="00365EF7"/>
    <w:rsid w:val="003667A5"/>
    <w:rsid w:val="0037128F"/>
    <w:rsid w:val="00371DC8"/>
    <w:rsid w:val="003741E4"/>
    <w:rsid w:val="003744B7"/>
    <w:rsid w:val="00376AED"/>
    <w:rsid w:val="00380C1E"/>
    <w:rsid w:val="00380EDC"/>
    <w:rsid w:val="00381002"/>
    <w:rsid w:val="00382EBF"/>
    <w:rsid w:val="0038533F"/>
    <w:rsid w:val="003904EA"/>
    <w:rsid w:val="0039585B"/>
    <w:rsid w:val="00397A67"/>
    <w:rsid w:val="003A5D9B"/>
    <w:rsid w:val="003A6890"/>
    <w:rsid w:val="003B16A8"/>
    <w:rsid w:val="003B2CA1"/>
    <w:rsid w:val="003B4723"/>
    <w:rsid w:val="003B53DB"/>
    <w:rsid w:val="003B5A42"/>
    <w:rsid w:val="003B5AD8"/>
    <w:rsid w:val="003B63CC"/>
    <w:rsid w:val="003B7733"/>
    <w:rsid w:val="003C0314"/>
    <w:rsid w:val="003C2E94"/>
    <w:rsid w:val="003C3595"/>
    <w:rsid w:val="003C4E6C"/>
    <w:rsid w:val="003C5841"/>
    <w:rsid w:val="003C7E12"/>
    <w:rsid w:val="003D36C1"/>
    <w:rsid w:val="003D3927"/>
    <w:rsid w:val="003D5C49"/>
    <w:rsid w:val="003D7BD0"/>
    <w:rsid w:val="003E5D3E"/>
    <w:rsid w:val="003E5EBB"/>
    <w:rsid w:val="003E6C7C"/>
    <w:rsid w:val="003F11AD"/>
    <w:rsid w:val="003F1B40"/>
    <w:rsid w:val="003F32E5"/>
    <w:rsid w:val="003F725F"/>
    <w:rsid w:val="00401615"/>
    <w:rsid w:val="00401E68"/>
    <w:rsid w:val="00402EEA"/>
    <w:rsid w:val="0040352D"/>
    <w:rsid w:val="00404068"/>
    <w:rsid w:val="0040458F"/>
    <w:rsid w:val="00404AB3"/>
    <w:rsid w:val="00404AEE"/>
    <w:rsid w:val="0041202D"/>
    <w:rsid w:val="004130FB"/>
    <w:rsid w:val="004177FC"/>
    <w:rsid w:val="00420A3D"/>
    <w:rsid w:val="00422236"/>
    <w:rsid w:val="0042766C"/>
    <w:rsid w:val="00432812"/>
    <w:rsid w:val="00433F63"/>
    <w:rsid w:val="00434327"/>
    <w:rsid w:val="0044078E"/>
    <w:rsid w:val="00444736"/>
    <w:rsid w:val="00446C0F"/>
    <w:rsid w:val="00446CA1"/>
    <w:rsid w:val="00447022"/>
    <w:rsid w:val="00447161"/>
    <w:rsid w:val="0044764A"/>
    <w:rsid w:val="00452A44"/>
    <w:rsid w:val="0045637B"/>
    <w:rsid w:val="00462521"/>
    <w:rsid w:val="004626A4"/>
    <w:rsid w:val="00463D0E"/>
    <w:rsid w:val="00465FE6"/>
    <w:rsid w:val="00471958"/>
    <w:rsid w:val="00473E35"/>
    <w:rsid w:val="0048102D"/>
    <w:rsid w:val="00482C5E"/>
    <w:rsid w:val="004840F7"/>
    <w:rsid w:val="00485112"/>
    <w:rsid w:val="0048694D"/>
    <w:rsid w:val="0049372F"/>
    <w:rsid w:val="00495CA6"/>
    <w:rsid w:val="00495D29"/>
    <w:rsid w:val="00496AF8"/>
    <w:rsid w:val="004A32B8"/>
    <w:rsid w:val="004A394F"/>
    <w:rsid w:val="004A4001"/>
    <w:rsid w:val="004A42AD"/>
    <w:rsid w:val="004B107C"/>
    <w:rsid w:val="004B28EC"/>
    <w:rsid w:val="004B42AC"/>
    <w:rsid w:val="004B5E90"/>
    <w:rsid w:val="004C0290"/>
    <w:rsid w:val="004C2226"/>
    <w:rsid w:val="004C2A36"/>
    <w:rsid w:val="004C39E2"/>
    <w:rsid w:val="004C3C56"/>
    <w:rsid w:val="004C53EE"/>
    <w:rsid w:val="004E0D33"/>
    <w:rsid w:val="004E1654"/>
    <w:rsid w:val="004E26D9"/>
    <w:rsid w:val="004E711B"/>
    <w:rsid w:val="004E7F60"/>
    <w:rsid w:val="004F023B"/>
    <w:rsid w:val="004F1724"/>
    <w:rsid w:val="004F437A"/>
    <w:rsid w:val="004F62E9"/>
    <w:rsid w:val="004F6501"/>
    <w:rsid w:val="004F68B4"/>
    <w:rsid w:val="00504B43"/>
    <w:rsid w:val="00507BAD"/>
    <w:rsid w:val="005106DE"/>
    <w:rsid w:val="0051290F"/>
    <w:rsid w:val="00515701"/>
    <w:rsid w:val="0052147C"/>
    <w:rsid w:val="00521B68"/>
    <w:rsid w:val="00526F10"/>
    <w:rsid w:val="00530961"/>
    <w:rsid w:val="00531CFC"/>
    <w:rsid w:val="00533DD6"/>
    <w:rsid w:val="005355FA"/>
    <w:rsid w:val="00542EEB"/>
    <w:rsid w:val="005459FB"/>
    <w:rsid w:val="00546383"/>
    <w:rsid w:val="00547286"/>
    <w:rsid w:val="0055777C"/>
    <w:rsid w:val="00562DF0"/>
    <w:rsid w:val="00563811"/>
    <w:rsid w:val="00563D1B"/>
    <w:rsid w:val="00565175"/>
    <w:rsid w:val="00571AA0"/>
    <w:rsid w:val="00571B70"/>
    <w:rsid w:val="00571E52"/>
    <w:rsid w:val="00577718"/>
    <w:rsid w:val="00577D35"/>
    <w:rsid w:val="00577F72"/>
    <w:rsid w:val="00585A7B"/>
    <w:rsid w:val="00586D22"/>
    <w:rsid w:val="005870A5"/>
    <w:rsid w:val="005A5A9B"/>
    <w:rsid w:val="005B5459"/>
    <w:rsid w:val="005B5F35"/>
    <w:rsid w:val="005B6574"/>
    <w:rsid w:val="005B70AD"/>
    <w:rsid w:val="005B7AA4"/>
    <w:rsid w:val="005C2425"/>
    <w:rsid w:val="005C36D2"/>
    <w:rsid w:val="005C69E9"/>
    <w:rsid w:val="005C7B77"/>
    <w:rsid w:val="005D1314"/>
    <w:rsid w:val="005D37AE"/>
    <w:rsid w:val="005D4A3D"/>
    <w:rsid w:val="005D56A2"/>
    <w:rsid w:val="005D6E70"/>
    <w:rsid w:val="005D70E9"/>
    <w:rsid w:val="005D776F"/>
    <w:rsid w:val="005E00BB"/>
    <w:rsid w:val="005E2CAC"/>
    <w:rsid w:val="005E3696"/>
    <w:rsid w:val="005E5715"/>
    <w:rsid w:val="005E5C11"/>
    <w:rsid w:val="005F1399"/>
    <w:rsid w:val="005F1C65"/>
    <w:rsid w:val="005F3054"/>
    <w:rsid w:val="005F4A6D"/>
    <w:rsid w:val="005F68E7"/>
    <w:rsid w:val="005F6C0C"/>
    <w:rsid w:val="005F733E"/>
    <w:rsid w:val="005F747D"/>
    <w:rsid w:val="006025CF"/>
    <w:rsid w:val="00602C4A"/>
    <w:rsid w:val="00602E27"/>
    <w:rsid w:val="00604898"/>
    <w:rsid w:val="00605956"/>
    <w:rsid w:val="00606A7D"/>
    <w:rsid w:val="0061088C"/>
    <w:rsid w:val="00610C3A"/>
    <w:rsid w:val="006128F7"/>
    <w:rsid w:val="00612D26"/>
    <w:rsid w:val="00613C9E"/>
    <w:rsid w:val="00615722"/>
    <w:rsid w:val="00615818"/>
    <w:rsid w:val="0061709D"/>
    <w:rsid w:val="006227CF"/>
    <w:rsid w:val="00624D27"/>
    <w:rsid w:val="00626110"/>
    <w:rsid w:val="0062740A"/>
    <w:rsid w:val="00627C0C"/>
    <w:rsid w:val="00630F76"/>
    <w:rsid w:val="00631534"/>
    <w:rsid w:val="00632B2E"/>
    <w:rsid w:val="00636D19"/>
    <w:rsid w:val="00640096"/>
    <w:rsid w:val="00640166"/>
    <w:rsid w:val="00642D4F"/>
    <w:rsid w:val="006469C7"/>
    <w:rsid w:val="00653E82"/>
    <w:rsid w:val="00657A00"/>
    <w:rsid w:val="0066122B"/>
    <w:rsid w:val="006614A0"/>
    <w:rsid w:val="00664023"/>
    <w:rsid w:val="00664ED7"/>
    <w:rsid w:val="00670551"/>
    <w:rsid w:val="0067112F"/>
    <w:rsid w:val="00671F9A"/>
    <w:rsid w:val="00671FB4"/>
    <w:rsid w:val="0067424B"/>
    <w:rsid w:val="00675543"/>
    <w:rsid w:val="00676296"/>
    <w:rsid w:val="006820B4"/>
    <w:rsid w:val="006824D2"/>
    <w:rsid w:val="00683CF7"/>
    <w:rsid w:val="00693F07"/>
    <w:rsid w:val="0069677D"/>
    <w:rsid w:val="006A2B87"/>
    <w:rsid w:val="006A3C01"/>
    <w:rsid w:val="006A79C1"/>
    <w:rsid w:val="006B2AEE"/>
    <w:rsid w:val="006B4203"/>
    <w:rsid w:val="006B4CCD"/>
    <w:rsid w:val="006B4F4F"/>
    <w:rsid w:val="006B635D"/>
    <w:rsid w:val="006B7161"/>
    <w:rsid w:val="006B7679"/>
    <w:rsid w:val="006B7C67"/>
    <w:rsid w:val="006C6B81"/>
    <w:rsid w:val="006D1462"/>
    <w:rsid w:val="006D50BF"/>
    <w:rsid w:val="006D67FA"/>
    <w:rsid w:val="006D684C"/>
    <w:rsid w:val="006D6AE9"/>
    <w:rsid w:val="006D7504"/>
    <w:rsid w:val="006D7A20"/>
    <w:rsid w:val="006E0197"/>
    <w:rsid w:val="006E31F3"/>
    <w:rsid w:val="006E3342"/>
    <w:rsid w:val="006E4C74"/>
    <w:rsid w:val="006F1C0A"/>
    <w:rsid w:val="006F2E71"/>
    <w:rsid w:val="006F6155"/>
    <w:rsid w:val="006F6879"/>
    <w:rsid w:val="006F6D7F"/>
    <w:rsid w:val="006F7F6F"/>
    <w:rsid w:val="00700EBB"/>
    <w:rsid w:val="007064EA"/>
    <w:rsid w:val="007138EE"/>
    <w:rsid w:val="007144A5"/>
    <w:rsid w:val="007145A1"/>
    <w:rsid w:val="00725AF2"/>
    <w:rsid w:val="00733B76"/>
    <w:rsid w:val="00746EDA"/>
    <w:rsid w:val="00746F6A"/>
    <w:rsid w:val="0074769C"/>
    <w:rsid w:val="00750CEE"/>
    <w:rsid w:val="007614C8"/>
    <w:rsid w:val="0076285F"/>
    <w:rsid w:val="00767513"/>
    <w:rsid w:val="007724BA"/>
    <w:rsid w:val="007802DE"/>
    <w:rsid w:val="0078690B"/>
    <w:rsid w:val="00786E80"/>
    <w:rsid w:val="00787CF8"/>
    <w:rsid w:val="00794ED1"/>
    <w:rsid w:val="00796019"/>
    <w:rsid w:val="007A03CB"/>
    <w:rsid w:val="007A1E8D"/>
    <w:rsid w:val="007B02E6"/>
    <w:rsid w:val="007B1593"/>
    <w:rsid w:val="007B15D0"/>
    <w:rsid w:val="007B643B"/>
    <w:rsid w:val="007C308B"/>
    <w:rsid w:val="007C30F9"/>
    <w:rsid w:val="007C3D8E"/>
    <w:rsid w:val="007C5484"/>
    <w:rsid w:val="007D0064"/>
    <w:rsid w:val="007D1B3D"/>
    <w:rsid w:val="007D3658"/>
    <w:rsid w:val="007D439E"/>
    <w:rsid w:val="007D4991"/>
    <w:rsid w:val="007D50AC"/>
    <w:rsid w:val="007D52F0"/>
    <w:rsid w:val="007E2033"/>
    <w:rsid w:val="007E3B4A"/>
    <w:rsid w:val="007E4674"/>
    <w:rsid w:val="007E48F7"/>
    <w:rsid w:val="007E51F9"/>
    <w:rsid w:val="007E57A9"/>
    <w:rsid w:val="007E57B3"/>
    <w:rsid w:val="007E6705"/>
    <w:rsid w:val="007E6DAD"/>
    <w:rsid w:val="007F04DE"/>
    <w:rsid w:val="007F1BA4"/>
    <w:rsid w:val="007F3F27"/>
    <w:rsid w:val="007F4294"/>
    <w:rsid w:val="007F4957"/>
    <w:rsid w:val="007F6481"/>
    <w:rsid w:val="007F6FE4"/>
    <w:rsid w:val="008015C2"/>
    <w:rsid w:val="008035F8"/>
    <w:rsid w:val="008078F1"/>
    <w:rsid w:val="00813A98"/>
    <w:rsid w:val="00814DA2"/>
    <w:rsid w:val="0081535B"/>
    <w:rsid w:val="008221B2"/>
    <w:rsid w:val="0082226F"/>
    <w:rsid w:val="00826963"/>
    <w:rsid w:val="00830389"/>
    <w:rsid w:val="00831526"/>
    <w:rsid w:val="008316D1"/>
    <w:rsid w:val="008348A9"/>
    <w:rsid w:val="0083570E"/>
    <w:rsid w:val="00837846"/>
    <w:rsid w:val="00841E48"/>
    <w:rsid w:val="00845938"/>
    <w:rsid w:val="00847730"/>
    <w:rsid w:val="008542CA"/>
    <w:rsid w:val="00863DC0"/>
    <w:rsid w:val="008673FF"/>
    <w:rsid w:val="00867CF7"/>
    <w:rsid w:val="00874ACC"/>
    <w:rsid w:val="00876555"/>
    <w:rsid w:val="008772E3"/>
    <w:rsid w:val="00877A94"/>
    <w:rsid w:val="008816DD"/>
    <w:rsid w:val="00883043"/>
    <w:rsid w:val="0088546F"/>
    <w:rsid w:val="00885F33"/>
    <w:rsid w:val="00890100"/>
    <w:rsid w:val="008924AC"/>
    <w:rsid w:val="00893350"/>
    <w:rsid w:val="0089499C"/>
    <w:rsid w:val="008956FC"/>
    <w:rsid w:val="00896547"/>
    <w:rsid w:val="00897901"/>
    <w:rsid w:val="008A022E"/>
    <w:rsid w:val="008A0FD4"/>
    <w:rsid w:val="008A148E"/>
    <w:rsid w:val="008A364A"/>
    <w:rsid w:val="008A76D5"/>
    <w:rsid w:val="008B42B2"/>
    <w:rsid w:val="008B4634"/>
    <w:rsid w:val="008B53E9"/>
    <w:rsid w:val="008B56C3"/>
    <w:rsid w:val="008C1226"/>
    <w:rsid w:val="008C2E10"/>
    <w:rsid w:val="008C3740"/>
    <w:rsid w:val="008C6658"/>
    <w:rsid w:val="008C72FD"/>
    <w:rsid w:val="008D1292"/>
    <w:rsid w:val="008D3CD8"/>
    <w:rsid w:val="008D5CEC"/>
    <w:rsid w:val="008D733C"/>
    <w:rsid w:val="008D76FF"/>
    <w:rsid w:val="008E07A9"/>
    <w:rsid w:val="008E1831"/>
    <w:rsid w:val="008E3DC8"/>
    <w:rsid w:val="008E5DB0"/>
    <w:rsid w:val="008E7078"/>
    <w:rsid w:val="008F0424"/>
    <w:rsid w:val="008F3D21"/>
    <w:rsid w:val="008F40A3"/>
    <w:rsid w:val="008F71B5"/>
    <w:rsid w:val="008F7830"/>
    <w:rsid w:val="0090126A"/>
    <w:rsid w:val="00901B8A"/>
    <w:rsid w:val="0090420D"/>
    <w:rsid w:val="00906A4D"/>
    <w:rsid w:val="009106CF"/>
    <w:rsid w:val="00910C21"/>
    <w:rsid w:val="00915BDE"/>
    <w:rsid w:val="00923038"/>
    <w:rsid w:val="009265A9"/>
    <w:rsid w:val="00926A6F"/>
    <w:rsid w:val="0092757C"/>
    <w:rsid w:val="00931D14"/>
    <w:rsid w:val="0093226F"/>
    <w:rsid w:val="00936034"/>
    <w:rsid w:val="009363DC"/>
    <w:rsid w:val="00936DF5"/>
    <w:rsid w:val="00937E3C"/>
    <w:rsid w:val="009403DD"/>
    <w:rsid w:val="009441F2"/>
    <w:rsid w:val="00946B81"/>
    <w:rsid w:val="009473A7"/>
    <w:rsid w:val="00951A3C"/>
    <w:rsid w:val="009564E8"/>
    <w:rsid w:val="0095735E"/>
    <w:rsid w:val="009615A6"/>
    <w:rsid w:val="00964CFB"/>
    <w:rsid w:val="00966B2D"/>
    <w:rsid w:val="00970BCE"/>
    <w:rsid w:val="00970ED4"/>
    <w:rsid w:val="00971210"/>
    <w:rsid w:val="00972DB5"/>
    <w:rsid w:val="00973554"/>
    <w:rsid w:val="00975AF4"/>
    <w:rsid w:val="009771DC"/>
    <w:rsid w:val="00980045"/>
    <w:rsid w:val="00986030"/>
    <w:rsid w:val="00993685"/>
    <w:rsid w:val="00995749"/>
    <w:rsid w:val="00995B9F"/>
    <w:rsid w:val="009A0054"/>
    <w:rsid w:val="009A08EF"/>
    <w:rsid w:val="009A4943"/>
    <w:rsid w:val="009A4D8C"/>
    <w:rsid w:val="009A4F45"/>
    <w:rsid w:val="009A5528"/>
    <w:rsid w:val="009B0449"/>
    <w:rsid w:val="009B0C08"/>
    <w:rsid w:val="009B4F83"/>
    <w:rsid w:val="009B6DBB"/>
    <w:rsid w:val="009C0308"/>
    <w:rsid w:val="009C47A7"/>
    <w:rsid w:val="009C60C6"/>
    <w:rsid w:val="009C7AAB"/>
    <w:rsid w:val="009D2207"/>
    <w:rsid w:val="009D461A"/>
    <w:rsid w:val="009D6CC3"/>
    <w:rsid w:val="009E1627"/>
    <w:rsid w:val="009E4503"/>
    <w:rsid w:val="009E4ADB"/>
    <w:rsid w:val="009E78A7"/>
    <w:rsid w:val="009F062E"/>
    <w:rsid w:val="00A010FC"/>
    <w:rsid w:val="00A053DF"/>
    <w:rsid w:val="00A0613A"/>
    <w:rsid w:val="00A06A99"/>
    <w:rsid w:val="00A1088C"/>
    <w:rsid w:val="00A11424"/>
    <w:rsid w:val="00A120D6"/>
    <w:rsid w:val="00A121DC"/>
    <w:rsid w:val="00A155D2"/>
    <w:rsid w:val="00A157C7"/>
    <w:rsid w:val="00A2073B"/>
    <w:rsid w:val="00A223D4"/>
    <w:rsid w:val="00A23178"/>
    <w:rsid w:val="00A25F9E"/>
    <w:rsid w:val="00A27194"/>
    <w:rsid w:val="00A3014B"/>
    <w:rsid w:val="00A30A8D"/>
    <w:rsid w:val="00A31E9C"/>
    <w:rsid w:val="00A31F89"/>
    <w:rsid w:val="00A33740"/>
    <w:rsid w:val="00A47951"/>
    <w:rsid w:val="00A527B9"/>
    <w:rsid w:val="00A527FC"/>
    <w:rsid w:val="00A56609"/>
    <w:rsid w:val="00A57B70"/>
    <w:rsid w:val="00A57E8C"/>
    <w:rsid w:val="00A608B0"/>
    <w:rsid w:val="00A62CF6"/>
    <w:rsid w:val="00A63821"/>
    <w:rsid w:val="00A66382"/>
    <w:rsid w:val="00A71638"/>
    <w:rsid w:val="00A72E55"/>
    <w:rsid w:val="00A76186"/>
    <w:rsid w:val="00A76CAF"/>
    <w:rsid w:val="00A823E4"/>
    <w:rsid w:val="00A82F65"/>
    <w:rsid w:val="00A85C8F"/>
    <w:rsid w:val="00A8752B"/>
    <w:rsid w:val="00A87DB7"/>
    <w:rsid w:val="00A928B4"/>
    <w:rsid w:val="00A93AF9"/>
    <w:rsid w:val="00AA0F3F"/>
    <w:rsid w:val="00AA44E1"/>
    <w:rsid w:val="00AA6F0F"/>
    <w:rsid w:val="00AB5202"/>
    <w:rsid w:val="00AB6C09"/>
    <w:rsid w:val="00AB7706"/>
    <w:rsid w:val="00AB792A"/>
    <w:rsid w:val="00AC4A3C"/>
    <w:rsid w:val="00AD1179"/>
    <w:rsid w:val="00AD4EBF"/>
    <w:rsid w:val="00AD6475"/>
    <w:rsid w:val="00AE11CB"/>
    <w:rsid w:val="00AE3753"/>
    <w:rsid w:val="00AE7F9C"/>
    <w:rsid w:val="00AF26C9"/>
    <w:rsid w:val="00AF6A52"/>
    <w:rsid w:val="00AF7374"/>
    <w:rsid w:val="00B0271D"/>
    <w:rsid w:val="00B0364E"/>
    <w:rsid w:val="00B03B26"/>
    <w:rsid w:val="00B0453A"/>
    <w:rsid w:val="00B05C66"/>
    <w:rsid w:val="00B062E6"/>
    <w:rsid w:val="00B11081"/>
    <w:rsid w:val="00B11E74"/>
    <w:rsid w:val="00B1407A"/>
    <w:rsid w:val="00B14D5B"/>
    <w:rsid w:val="00B233D1"/>
    <w:rsid w:val="00B23CBE"/>
    <w:rsid w:val="00B24F00"/>
    <w:rsid w:val="00B31C75"/>
    <w:rsid w:val="00B33AE2"/>
    <w:rsid w:val="00B36460"/>
    <w:rsid w:val="00B36871"/>
    <w:rsid w:val="00B3716A"/>
    <w:rsid w:val="00B378C5"/>
    <w:rsid w:val="00B37909"/>
    <w:rsid w:val="00B4023C"/>
    <w:rsid w:val="00B424CA"/>
    <w:rsid w:val="00B429E6"/>
    <w:rsid w:val="00B44638"/>
    <w:rsid w:val="00B458DF"/>
    <w:rsid w:val="00B45BAA"/>
    <w:rsid w:val="00B46299"/>
    <w:rsid w:val="00B46B8D"/>
    <w:rsid w:val="00B5081C"/>
    <w:rsid w:val="00B517F0"/>
    <w:rsid w:val="00B51EB4"/>
    <w:rsid w:val="00B54E38"/>
    <w:rsid w:val="00B67FE8"/>
    <w:rsid w:val="00B713FB"/>
    <w:rsid w:val="00B71DCA"/>
    <w:rsid w:val="00B733B4"/>
    <w:rsid w:val="00B73B4D"/>
    <w:rsid w:val="00B76218"/>
    <w:rsid w:val="00B802D5"/>
    <w:rsid w:val="00B804E3"/>
    <w:rsid w:val="00B81C38"/>
    <w:rsid w:val="00B91397"/>
    <w:rsid w:val="00B92865"/>
    <w:rsid w:val="00B93D0A"/>
    <w:rsid w:val="00B973AB"/>
    <w:rsid w:val="00BA14AF"/>
    <w:rsid w:val="00BA21CB"/>
    <w:rsid w:val="00BA2762"/>
    <w:rsid w:val="00BA2E36"/>
    <w:rsid w:val="00BA41F0"/>
    <w:rsid w:val="00BA7FD6"/>
    <w:rsid w:val="00BB6938"/>
    <w:rsid w:val="00BB7B0E"/>
    <w:rsid w:val="00BC0F54"/>
    <w:rsid w:val="00BC3E4D"/>
    <w:rsid w:val="00BC3EAA"/>
    <w:rsid w:val="00BC4034"/>
    <w:rsid w:val="00BC56B0"/>
    <w:rsid w:val="00BC655A"/>
    <w:rsid w:val="00BD055A"/>
    <w:rsid w:val="00BD0F7B"/>
    <w:rsid w:val="00BD11CF"/>
    <w:rsid w:val="00BD33EA"/>
    <w:rsid w:val="00BD5556"/>
    <w:rsid w:val="00BE6826"/>
    <w:rsid w:val="00BE783D"/>
    <w:rsid w:val="00BF1464"/>
    <w:rsid w:val="00BF161B"/>
    <w:rsid w:val="00BF4A22"/>
    <w:rsid w:val="00BF5A6E"/>
    <w:rsid w:val="00BF722E"/>
    <w:rsid w:val="00C02048"/>
    <w:rsid w:val="00C04F68"/>
    <w:rsid w:val="00C071D1"/>
    <w:rsid w:val="00C07743"/>
    <w:rsid w:val="00C15EFA"/>
    <w:rsid w:val="00C24A9F"/>
    <w:rsid w:val="00C24FA3"/>
    <w:rsid w:val="00C25908"/>
    <w:rsid w:val="00C2652F"/>
    <w:rsid w:val="00C268E5"/>
    <w:rsid w:val="00C26934"/>
    <w:rsid w:val="00C308D5"/>
    <w:rsid w:val="00C31FAB"/>
    <w:rsid w:val="00C431CC"/>
    <w:rsid w:val="00C436FB"/>
    <w:rsid w:val="00C43A1C"/>
    <w:rsid w:val="00C465DD"/>
    <w:rsid w:val="00C5033E"/>
    <w:rsid w:val="00C543B4"/>
    <w:rsid w:val="00C549CB"/>
    <w:rsid w:val="00C5607E"/>
    <w:rsid w:val="00C61D44"/>
    <w:rsid w:val="00C63AE1"/>
    <w:rsid w:val="00C6499A"/>
    <w:rsid w:val="00C64B1E"/>
    <w:rsid w:val="00C778F7"/>
    <w:rsid w:val="00C77EDB"/>
    <w:rsid w:val="00C8197C"/>
    <w:rsid w:val="00C82F1C"/>
    <w:rsid w:val="00C833D7"/>
    <w:rsid w:val="00C85CE4"/>
    <w:rsid w:val="00C925F3"/>
    <w:rsid w:val="00C94479"/>
    <w:rsid w:val="00C95258"/>
    <w:rsid w:val="00C96C01"/>
    <w:rsid w:val="00CA244C"/>
    <w:rsid w:val="00CA2AFF"/>
    <w:rsid w:val="00CA2E61"/>
    <w:rsid w:val="00CA3C9B"/>
    <w:rsid w:val="00CB22FC"/>
    <w:rsid w:val="00CB294C"/>
    <w:rsid w:val="00CB3D2B"/>
    <w:rsid w:val="00CB46B5"/>
    <w:rsid w:val="00CB6C49"/>
    <w:rsid w:val="00CC265A"/>
    <w:rsid w:val="00CC39B5"/>
    <w:rsid w:val="00CC43E2"/>
    <w:rsid w:val="00CC4FD3"/>
    <w:rsid w:val="00CC62F1"/>
    <w:rsid w:val="00CC787C"/>
    <w:rsid w:val="00CC7A71"/>
    <w:rsid w:val="00CC7BE8"/>
    <w:rsid w:val="00CD4295"/>
    <w:rsid w:val="00CD4487"/>
    <w:rsid w:val="00CD5134"/>
    <w:rsid w:val="00CD59BB"/>
    <w:rsid w:val="00CD6456"/>
    <w:rsid w:val="00CE0AC3"/>
    <w:rsid w:val="00CE0CC2"/>
    <w:rsid w:val="00CE1A01"/>
    <w:rsid w:val="00CE2301"/>
    <w:rsid w:val="00CE4271"/>
    <w:rsid w:val="00CF017E"/>
    <w:rsid w:val="00CF1859"/>
    <w:rsid w:val="00CF2F25"/>
    <w:rsid w:val="00D00029"/>
    <w:rsid w:val="00D04D19"/>
    <w:rsid w:val="00D06B2B"/>
    <w:rsid w:val="00D07664"/>
    <w:rsid w:val="00D10453"/>
    <w:rsid w:val="00D1406F"/>
    <w:rsid w:val="00D1634F"/>
    <w:rsid w:val="00D1786C"/>
    <w:rsid w:val="00D21F41"/>
    <w:rsid w:val="00D25936"/>
    <w:rsid w:val="00D25AFD"/>
    <w:rsid w:val="00D3452D"/>
    <w:rsid w:val="00D36782"/>
    <w:rsid w:val="00D377D9"/>
    <w:rsid w:val="00D41B5D"/>
    <w:rsid w:val="00D42A8E"/>
    <w:rsid w:val="00D43526"/>
    <w:rsid w:val="00D468D5"/>
    <w:rsid w:val="00D47CDD"/>
    <w:rsid w:val="00D50379"/>
    <w:rsid w:val="00D52ADA"/>
    <w:rsid w:val="00D5740A"/>
    <w:rsid w:val="00D60DC1"/>
    <w:rsid w:val="00D64D20"/>
    <w:rsid w:val="00D6709C"/>
    <w:rsid w:val="00D70AAA"/>
    <w:rsid w:val="00D744DE"/>
    <w:rsid w:val="00D74817"/>
    <w:rsid w:val="00D765D7"/>
    <w:rsid w:val="00D80CCE"/>
    <w:rsid w:val="00D80D33"/>
    <w:rsid w:val="00D81CE7"/>
    <w:rsid w:val="00D82921"/>
    <w:rsid w:val="00D85999"/>
    <w:rsid w:val="00D860FC"/>
    <w:rsid w:val="00DA0918"/>
    <w:rsid w:val="00DA1486"/>
    <w:rsid w:val="00DA14A4"/>
    <w:rsid w:val="00DA208D"/>
    <w:rsid w:val="00DA2376"/>
    <w:rsid w:val="00DA3308"/>
    <w:rsid w:val="00DA4848"/>
    <w:rsid w:val="00DA6ADA"/>
    <w:rsid w:val="00DA7674"/>
    <w:rsid w:val="00DB08FF"/>
    <w:rsid w:val="00DB17CC"/>
    <w:rsid w:val="00DB27F0"/>
    <w:rsid w:val="00DB35B9"/>
    <w:rsid w:val="00DB533F"/>
    <w:rsid w:val="00DB7594"/>
    <w:rsid w:val="00DB7D44"/>
    <w:rsid w:val="00DC3A01"/>
    <w:rsid w:val="00DC3E26"/>
    <w:rsid w:val="00DC5691"/>
    <w:rsid w:val="00DC5BB2"/>
    <w:rsid w:val="00DC6A6D"/>
    <w:rsid w:val="00DD060C"/>
    <w:rsid w:val="00DD32CE"/>
    <w:rsid w:val="00DD3E8E"/>
    <w:rsid w:val="00DD45F8"/>
    <w:rsid w:val="00DD5DE4"/>
    <w:rsid w:val="00DE0A2D"/>
    <w:rsid w:val="00DE333D"/>
    <w:rsid w:val="00DE6695"/>
    <w:rsid w:val="00DE689F"/>
    <w:rsid w:val="00DE6CE4"/>
    <w:rsid w:val="00DF0C9A"/>
    <w:rsid w:val="00DF2C82"/>
    <w:rsid w:val="00DF3339"/>
    <w:rsid w:val="00DF66D5"/>
    <w:rsid w:val="00DF6C14"/>
    <w:rsid w:val="00DF6F25"/>
    <w:rsid w:val="00E00085"/>
    <w:rsid w:val="00E05183"/>
    <w:rsid w:val="00E0777B"/>
    <w:rsid w:val="00E078BF"/>
    <w:rsid w:val="00E15110"/>
    <w:rsid w:val="00E155F6"/>
    <w:rsid w:val="00E17392"/>
    <w:rsid w:val="00E17C28"/>
    <w:rsid w:val="00E21D40"/>
    <w:rsid w:val="00E24E1F"/>
    <w:rsid w:val="00E27896"/>
    <w:rsid w:val="00E30B8C"/>
    <w:rsid w:val="00E3530B"/>
    <w:rsid w:val="00E37410"/>
    <w:rsid w:val="00E37CD9"/>
    <w:rsid w:val="00E42B87"/>
    <w:rsid w:val="00E45578"/>
    <w:rsid w:val="00E472E6"/>
    <w:rsid w:val="00E47466"/>
    <w:rsid w:val="00E501E4"/>
    <w:rsid w:val="00E50793"/>
    <w:rsid w:val="00E535A7"/>
    <w:rsid w:val="00E55831"/>
    <w:rsid w:val="00E559D8"/>
    <w:rsid w:val="00E56E28"/>
    <w:rsid w:val="00E5746C"/>
    <w:rsid w:val="00E60913"/>
    <w:rsid w:val="00E61BD2"/>
    <w:rsid w:val="00E7232D"/>
    <w:rsid w:val="00E723DE"/>
    <w:rsid w:val="00E80422"/>
    <w:rsid w:val="00E8079E"/>
    <w:rsid w:val="00E82070"/>
    <w:rsid w:val="00E84FEA"/>
    <w:rsid w:val="00E859F3"/>
    <w:rsid w:val="00E85A7A"/>
    <w:rsid w:val="00E903E5"/>
    <w:rsid w:val="00E91464"/>
    <w:rsid w:val="00E938B1"/>
    <w:rsid w:val="00EA0B2E"/>
    <w:rsid w:val="00EA2008"/>
    <w:rsid w:val="00EA3D87"/>
    <w:rsid w:val="00EA5213"/>
    <w:rsid w:val="00EA69D0"/>
    <w:rsid w:val="00EB0848"/>
    <w:rsid w:val="00EB12BE"/>
    <w:rsid w:val="00EB5631"/>
    <w:rsid w:val="00EB5F9C"/>
    <w:rsid w:val="00EB6E1D"/>
    <w:rsid w:val="00EB7AAF"/>
    <w:rsid w:val="00EC02FB"/>
    <w:rsid w:val="00EC1554"/>
    <w:rsid w:val="00EC2924"/>
    <w:rsid w:val="00EC6423"/>
    <w:rsid w:val="00ED3506"/>
    <w:rsid w:val="00ED44F4"/>
    <w:rsid w:val="00ED6EC1"/>
    <w:rsid w:val="00EE0796"/>
    <w:rsid w:val="00EE2822"/>
    <w:rsid w:val="00EE6542"/>
    <w:rsid w:val="00EF61E3"/>
    <w:rsid w:val="00F0108C"/>
    <w:rsid w:val="00F010BF"/>
    <w:rsid w:val="00F0195B"/>
    <w:rsid w:val="00F03482"/>
    <w:rsid w:val="00F116D7"/>
    <w:rsid w:val="00F11B81"/>
    <w:rsid w:val="00F126EC"/>
    <w:rsid w:val="00F13BCC"/>
    <w:rsid w:val="00F17A2D"/>
    <w:rsid w:val="00F17F64"/>
    <w:rsid w:val="00F269E9"/>
    <w:rsid w:val="00F27C1D"/>
    <w:rsid w:val="00F27D6B"/>
    <w:rsid w:val="00F30B91"/>
    <w:rsid w:val="00F31F66"/>
    <w:rsid w:val="00F35613"/>
    <w:rsid w:val="00F377F9"/>
    <w:rsid w:val="00F37B95"/>
    <w:rsid w:val="00F5008E"/>
    <w:rsid w:val="00F5432C"/>
    <w:rsid w:val="00F57B0E"/>
    <w:rsid w:val="00F61899"/>
    <w:rsid w:val="00F64D8A"/>
    <w:rsid w:val="00F67723"/>
    <w:rsid w:val="00F7020C"/>
    <w:rsid w:val="00F709EB"/>
    <w:rsid w:val="00F72571"/>
    <w:rsid w:val="00F76254"/>
    <w:rsid w:val="00F84403"/>
    <w:rsid w:val="00F8453E"/>
    <w:rsid w:val="00F86999"/>
    <w:rsid w:val="00F8736C"/>
    <w:rsid w:val="00F87612"/>
    <w:rsid w:val="00F877FC"/>
    <w:rsid w:val="00F92434"/>
    <w:rsid w:val="00F95979"/>
    <w:rsid w:val="00F977A3"/>
    <w:rsid w:val="00FA79D8"/>
    <w:rsid w:val="00FB1421"/>
    <w:rsid w:val="00FB2146"/>
    <w:rsid w:val="00FD1706"/>
    <w:rsid w:val="00FD3B51"/>
    <w:rsid w:val="00FE4CDA"/>
    <w:rsid w:val="00FE4FD2"/>
    <w:rsid w:val="00FE5D9E"/>
    <w:rsid w:val="00FE6038"/>
    <w:rsid w:val="00FE6DF3"/>
    <w:rsid w:val="00FF3326"/>
    <w:rsid w:val="00FF3506"/>
    <w:rsid w:val="00FF48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22C65-9E51-4924-8503-306D2D90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E4"/>
    <w:rPr>
      <w:rFonts w:ascii="Calibri" w:eastAsia="Calibri" w:hAnsi="Calibri" w:cs="Times New Roman"/>
    </w:rPr>
  </w:style>
  <w:style w:type="paragraph" w:styleId="Naslov1">
    <w:name w:val="heading 1"/>
    <w:basedOn w:val="Normal"/>
    <w:next w:val="Normal"/>
    <w:link w:val="Naslov1Char"/>
    <w:uiPriority w:val="9"/>
    <w:qFormat/>
    <w:rsid w:val="00897901"/>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1962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F034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97901"/>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1962D4"/>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rsid w:val="00F03482"/>
    <w:rPr>
      <w:rFonts w:asciiTheme="majorHAnsi" w:eastAsiaTheme="majorEastAsia" w:hAnsiTheme="majorHAnsi" w:cstheme="majorBidi"/>
      <w:color w:val="243F60" w:themeColor="accent1" w:themeShade="7F"/>
      <w:sz w:val="24"/>
      <w:szCs w:val="24"/>
    </w:rPr>
  </w:style>
  <w:style w:type="paragraph" w:styleId="Bezproreda">
    <w:name w:val="No Spacing"/>
    <w:uiPriority w:val="1"/>
    <w:qFormat/>
    <w:rsid w:val="003741E4"/>
    <w:pPr>
      <w:spacing w:after="0" w:line="240" w:lineRule="auto"/>
    </w:pPr>
  </w:style>
  <w:style w:type="table" w:styleId="Reetkatablice">
    <w:name w:val="Table Grid"/>
    <w:basedOn w:val="Obinatablica"/>
    <w:uiPriority w:val="59"/>
    <w:rsid w:val="00374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741E4"/>
    <w:pPr>
      <w:ind w:left="720"/>
      <w:contextualSpacing/>
    </w:pPr>
  </w:style>
  <w:style w:type="paragraph" w:styleId="Zaglavlje">
    <w:name w:val="header"/>
    <w:basedOn w:val="Normal"/>
    <w:link w:val="ZaglavljeChar"/>
    <w:uiPriority w:val="99"/>
    <w:unhideWhenUsed/>
    <w:rsid w:val="003741E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741E4"/>
    <w:rPr>
      <w:rFonts w:ascii="Calibri" w:eastAsia="Calibri" w:hAnsi="Calibri" w:cs="Times New Roman"/>
    </w:rPr>
  </w:style>
  <w:style w:type="paragraph" w:styleId="Podnoje">
    <w:name w:val="footer"/>
    <w:basedOn w:val="Normal"/>
    <w:link w:val="PodnojeChar"/>
    <w:uiPriority w:val="99"/>
    <w:unhideWhenUsed/>
    <w:rsid w:val="003741E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41E4"/>
    <w:rPr>
      <w:rFonts w:ascii="Calibri" w:eastAsia="Calibri" w:hAnsi="Calibri" w:cs="Times New Roman"/>
    </w:rPr>
  </w:style>
  <w:style w:type="paragraph" w:styleId="Podnaslov">
    <w:name w:val="Subtitle"/>
    <w:basedOn w:val="Normal"/>
    <w:next w:val="Normal"/>
    <w:link w:val="PodnaslovChar"/>
    <w:uiPriority w:val="11"/>
    <w:qFormat/>
    <w:rsid w:val="003741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3741E4"/>
    <w:rPr>
      <w:rFonts w:asciiTheme="majorHAnsi" w:eastAsiaTheme="majorEastAsia" w:hAnsiTheme="majorHAnsi" w:cstheme="majorBidi"/>
      <w:i/>
      <w:iCs/>
      <w:color w:val="4F81BD" w:themeColor="accent1"/>
      <w:spacing w:val="15"/>
      <w:sz w:val="24"/>
      <w:szCs w:val="24"/>
    </w:rPr>
  </w:style>
  <w:style w:type="paragraph" w:styleId="Tekstbalonia">
    <w:name w:val="Balloon Text"/>
    <w:basedOn w:val="Normal"/>
    <w:link w:val="TekstbaloniaChar"/>
    <w:uiPriority w:val="99"/>
    <w:semiHidden/>
    <w:unhideWhenUsed/>
    <w:rsid w:val="003E5EB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E5EBB"/>
    <w:rPr>
      <w:rFonts w:ascii="Tahoma" w:eastAsia="Calibri" w:hAnsi="Tahoma" w:cs="Tahoma"/>
      <w:sz w:val="16"/>
      <w:szCs w:val="16"/>
    </w:rPr>
  </w:style>
  <w:style w:type="table" w:customStyle="1" w:styleId="Reetkatablice1">
    <w:name w:val="Rešetka tablice1"/>
    <w:basedOn w:val="Obinatablica"/>
    <w:next w:val="Reetkatablice"/>
    <w:uiPriority w:val="59"/>
    <w:rsid w:val="0071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485112"/>
    <w:pPr>
      <w:spacing w:after="0" w:line="240" w:lineRule="auto"/>
    </w:pPr>
    <w:rPr>
      <w:rFonts w:ascii="Calibri" w:eastAsia="Calibri" w:hAnsi="Calibri" w:cs="Times New Roman"/>
    </w:rPr>
  </w:style>
  <w:style w:type="table" w:customStyle="1" w:styleId="Reetkatablice11">
    <w:name w:val="Rešetka tablice11"/>
    <w:basedOn w:val="Obinatablica"/>
    <w:next w:val="Reetkatablice"/>
    <w:uiPriority w:val="59"/>
    <w:rsid w:val="003D5C49"/>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Obinatablica"/>
    <w:next w:val="Reetkatablice"/>
    <w:uiPriority w:val="59"/>
    <w:rsid w:val="00964CFB"/>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2519">
      <w:bodyDiv w:val="1"/>
      <w:marLeft w:val="0"/>
      <w:marRight w:val="0"/>
      <w:marTop w:val="0"/>
      <w:marBottom w:val="0"/>
      <w:divBdr>
        <w:top w:val="none" w:sz="0" w:space="0" w:color="auto"/>
        <w:left w:val="none" w:sz="0" w:space="0" w:color="auto"/>
        <w:bottom w:val="none" w:sz="0" w:space="0" w:color="auto"/>
        <w:right w:val="none" w:sz="0" w:space="0" w:color="auto"/>
      </w:divBdr>
    </w:div>
    <w:div w:id="689263357">
      <w:bodyDiv w:val="1"/>
      <w:marLeft w:val="0"/>
      <w:marRight w:val="0"/>
      <w:marTop w:val="0"/>
      <w:marBottom w:val="0"/>
      <w:divBdr>
        <w:top w:val="none" w:sz="0" w:space="0" w:color="auto"/>
        <w:left w:val="none" w:sz="0" w:space="0" w:color="auto"/>
        <w:bottom w:val="none" w:sz="0" w:space="0" w:color="auto"/>
        <w:right w:val="none" w:sz="0" w:space="0" w:color="auto"/>
      </w:divBdr>
    </w:div>
    <w:div w:id="757990758">
      <w:bodyDiv w:val="1"/>
      <w:marLeft w:val="0"/>
      <w:marRight w:val="0"/>
      <w:marTop w:val="0"/>
      <w:marBottom w:val="0"/>
      <w:divBdr>
        <w:top w:val="none" w:sz="0" w:space="0" w:color="auto"/>
        <w:left w:val="none" w:sz="0" w:space="0" w:color="auto"/>
        <w:bottom w:val="none" w:sz="0" w:space="0" w:color="auto"/>
        <w:right w:val="none" w:sz="0" w:space="0" w:color="auto"/>
      </w:divBdr>
    </w:div>
    <w:div w:id="776950173">
      <w:bodyDiv w:val="1"/>
      <w:marLeft w:val="0"/>
      <w:marRight w:val="0"/>
      <w:marTop w:val="0"/>
      <w:marBottom w:val="0"/>
      <w:divBdr>
        <w:top w:val="none" w:sz="0" w:space="0" w:color="auto"/>
        <w:left w:val="none" w:sz="0" w:space="0" w:color="auto"/>
        <w:bottom w:val="none" w:sz="0" w:space="0" w:color="auto"/>
        <w:right w:val="none" w:sz="0" w:space="0" w:color="auto"/>
      </w:divBdr>
    </w:div>
    <w:div w:id="802507801">
      <w:bodyDiv w:val="1"/>
      <w:marLeft w:val="0"/>
      <w:marRight w:val="0"/>
      <w:marTop w:val="0"/>
      <w:marBottom w:val="0"/>
      <w:divBdr>
        <w:top w:val="none" w:sz="0" w:space="0" w:color="auto"/>
        <w:left w:val="none" w:sz="0" w:space="0" w:color="auto"/>
        <w:bottom w:val="none" w:sz="0" w:space="0" w:color="auto"/>
        <w:right w:val="none" w:sz="0" w:space="0" w:color="auto"/>
      </w:divBdr>
    </w:div>
    <w:div w:id="924341809">
      <w:bodyDiv w:val="1"/>
      <w:marLeft w:val="0"/>
      <w:marRight w:val="0"/>
      <w:marTop w:val="0"/>
      <w:marBottom w:val="0"/>
      <w:divBdr>
        <w:top w:val="none" w:sz="0" w:space="0" w:color="auto"/>
        <w:left w:val="none" w:sz="0" w:space="0" w:color="auto"/>
        <w:bottom w:val="none" w:sz="0" w:space="0" w:color="auto"/>
        <w:right w:val="none" w:sz="0" w:space="0" w:color="auto"/>
      </w:divBdr>
    </w:div>
    <w:div w:id="1028527344">
      <w:bodyDiv w:val="1"/>
      <w:marLeft w:val="0"/>
      <w:marRight w:val="0"/>
      <w:marTop w:val="0"/>
      <w:marBottom w:val="0"/>
      <w:divBdr>
        <w:top w:val="none" w:sz="0" w:space="0" w:color="auto"/>
        <w:left w:val="none" w:sz="0" w:space="0" w:color="auto"/>
        <w:bottom w:val="none" w:sz="0" w:space="0" w:color="auto"/>
        <w:right w:val="none" w:sz="0" w:space="0" w:color="auto"/>
      </w:divBdr>
    </w:div>
    <w:div w:id="1206407234">
      <w:bodyDiv w:val="1"/>
      <w:marLeft w:val="0"/>
      <w:marRight w:val="0"/>
      <w:marTop w:val="0"/>
      <w:marBottom w:val="0"/>
      <w:divBdr>
        <w:top w:val="none" w:sz="0" w:space="0" w:color="auto"/>
        <w:left w:val="none" w:sz="0" w:space="0" w:color="auto"/>
        <w:bottom w:val="none" w:sz="0" w:space="0" w:color="auto"/>
        <w:right w:val="none" w:sz="0" w:space="0" w:color="auto"/>
      </w:divBdr>
    </w:div>
    <w:div w:id="1254587720">
      <w:bodyDiv w:val="1"/>
      <w:marLeft w:val="0"/>
      <w:marRight w:val="0"/>
      <w:marTop w:val="0"/>
      <w:marBottom w:val="0"/>
      <w:divBdr>
        <w:top w:val="none" w:sz="0" w:space="0" w:color="auto"/>
        <w:left w:val="none" w:sz="0" w:space="0" w:color="auto"/>
        <w:bottom w:val="none" w:sz="0" w:space="0" w:color="auto"/>
        <w:right w:val="none" w:sz="0" w:space="0" w:color="auto"/>
      </w:divBdr>
    </w:div>
    <w:div w:id="1257057270">
      <w:bodyDiv w:val="1"/>
      <w:marLeft w:val="0"/>
      <w:marRight w:val="0"/>
      <w:marTop w:val="0"/>
      <w:marBottom w:val="0"/>
      <w:divBdr>
        <w:top w:val="none" w:sz="0" w:space="0" w:color="auto"/>
        <w:left w:val="none" w:sz="0" w:space="0" w:color="auto"/>
        <w:bottom w:val="none" w:sz="0" w:space="0" w:color="auto"/>
        <w:right w:val="none" w:sz="0" w:space="0" w:color="auto"/>
      </w:divBdr>
    </w:div>
    <w:div w:id="1339968276">
      <w:bodyDiv w:val="1"/>
      <w:marLeft w:val="0"/>
      <w:marRight w:val="0"/>
      <w:marTop w:val="0"/>
      <w:marBottom w:val="0"/>
      <w:divBdr>
        <w:top w:val="none" w:sz="0" w:space="0" w:color="auto"/>
        <w:left w:val="none" w:sz="0" w:space="0" w:color="auto"/>
        <w:bottom w:val="none" w:sz="0" w:space="0" w:color="auto"/>
        <w:right w:val="none" w:sz="0" w:space="0" w:color="auto"/>
      </w:divBdr>
    </w:div>
    <w:div w:id="1498109956">
      <w:bodyDiv w:val="1"/>
      <w:marLeft w:val="0"/>
      <w:marRight w:val="0"/>
      <w:marTop w:val="0"/>
      <w:marBottom w:val="0"/>
      <w:divBdr>
        <w:top w:val="none" w:sz="0" w:space="0" w:color="auto"/>
        <w:left w:val="none" w:sz="0" w:space="0" w:color="auto"/>
        <w:bottom w:val="none" w:sz="0" w:space="0" w:color="auto"/>
        <w:right w:val="none" w:sz="0" w:space="0" w:color="auto"/>
      </w:divBdr>
    </w:div>
    <w:div w:id="1518737942">
      <w:bodyDiv w:val="1"/>
      <w:marLeft w:val="0"/>
      <w:marRight w:val="0"/>
      <w:marTop w:val="0"/>
      <w:marBottom w:val="0"/>
      <w:divBdr>
        <w:top w:val="none" w:sz="0" w:space="0" w:color="auto"/>
        <w:left w:val="none" w:sz="0" w:space="0" w:color="auto"/>
        <w:bottom w:val="none" w:sz="0" w:space="0" w:color="auto"/>
        <w:right w:val="none" w:sz="0" w:space="0" w:color="auto"/>
      </w:divBdr>
    </w:div>
    <w:div w:id="1649289519">
      <w:bodyDiv w:val="1"/>
      <w:marLeft w:val="0"/>
      <w:marRight w:val="0"/>
      <w:marTop w:val="0"/>
      <w:marBottom w:val="0"/>
      <w:divBdr>
        <w:top w:val="none" w:sz="0" w:space="0" w:color="auto"/>
        <w:left w:val="none" w:sz="0" w:space="0" w:color="auto"/>
        <w:bottom w:val="none" w:sz="0" w:space="0" w:color="auto"/>
        <w:right w:val="none" w:sz="0" w:space="0" w:color="auto"/>
      </w:divBdr>
    </w:div>
    <w:div w:id="1683627564">
      <w:bodyDiv w:val="1"/>
      <w:marLeft w:val="0"/>
      <w:marRight w:val="0"/>
      <w:marTop w:val="0"/>
      <w:marBottom w:val="0"/>
      <w:divBdr>
        <w:top w:val="none" w:sz="0" w:space="0" w:color="auto"/>
        <w:left w:val="none" w:sz="0" w:space="0" w:color="auto"/>
        <w:bottom w:val="none" w:sz="0" w:space="0" w:color="auto"/>
        <w:right w:val="none" w:sz="0" w:space="0" w:color="auto"/>
      </w:divBdr>
    </w:div>
    <w:div w:id="1740244859">
      <w:bodyDiv w:val="1"/>
      <w:marLeft w:val="0"/>
      <w:marRight w:val="0"/>
      <w:marTop w:val="0"/>
      <w:marBottom w:val="0"/>
      <w:divBdr>
        <w:top w:val="none" w:sz="0" w:space="0" w:color="auto"/>
        <w:left w:val="none" w:sz="0" w:space="0" w:color="auto"/>
        <w:bottom w:val="none" w:sz="0" w:space="0" w:color="auto"/>
        <w:right w:val="none" w:sz="0" w:space="0" w:color="auto"/>
      </w:divBdr>
    </w:div>
    <w:div w:id="1760636935">
      <w:bodyDiv w:val="1"/>
      <w:marLeft w:val="0"/>
      <w:marRight w:val="0"/>
      <w:marTop w:val="0"/>
      <w:marBottom w:val="0"/>
      <w:divBdr>
        <w:top w:val="none" w:sz="0" w:space="0" w:color="auto"/>
        <w:left w:val="none" w:sz="0" w:space="0" w:color="auto"/>
        <w:bottom w:val="none" w:sz="0" w:space="0" w:color="auto"/>
        <w:right w:val="none" w:sz="0" w:space="0" w:color="auto"/>
      </w:divBdr>
    </w:div>
    <w:div w:id="1821924029">
      <w:bodyDiv w:val="1"/>
      <w:marLeft w:val="0"/>
      <w:marRight w:val="0"/>
      <w:marTop w:val="0"/>
      <w:marBottom w:val="0"/>
      <w:divBdr>
        <w:top w:val="none" w:sz="0" w:space="0" w:color="auto"/>
        <w:left w:val="none" w:sz="0" w:space="0" w:color="auto"/>
        <w:bottom w:val="none" w:sz="0" w:space="0" w:color="auto"/>
        <w:right w:val="none" w:sz="0" w:space="0" w:color="auto"/>
      </w:divBdr>
    </w:div>
    <w:div w:id="1843623494">
      <w:bodyDiv w:val="1"/>
      <w:marLeft w:val="0"/>
      <w:marRight w:val="0"/>
      <w:marTop w:val="0"/>
      <w:marBottom w:val="0"/>
      <w:divBdr>
        <w:top w:val="none" w:sz="0" w:space="0" w:color="auto"/>
        <w:left w:val="none" w:sz="0" w:space="0" w:color="auto"/>
        <w:bottom w:val="none" w:sz="0" w:space="0" w:color="auto"/>
        <w:right w:val="none" w:sz="0" w:space="0" w:color="auto"/>
      </w:divBdr>
    </w:div>
    <w:div w:id="20677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EFDC-1F4D-4720-ACA3-40758E40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10061</TotalTime>
  <Pages>10</Pages>
  <Words>4448</Words>
  <Characters>25360</Characters>
  <Application>Microsoft Office Word</Application>
  <DocSecurity>0</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Bagadur</dc:creator>
  <cp:keywords/>
  <dc:description/>
  <cp:lastModifiedBy>Spomenka Sakač</cp:lastModifiedBy>
  <cp:revision>120</cp:revision>
  <cp:lastPrinted>2021-02-02T10:30:00Z</cp:lastPrinted>
  <dcterms:created xsi:type="dcterms:W3CDTF">2017-01-24T11:56:00Z</dcterms:created>
  <dcterms:modified xsi:type="dcterms:W3CDTF">2021-02-08T09:00:00Z</dcterms:modified>
</cp:coreProperties>
</file>